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7D12" w14:textId="7EF7F769" w:rsidR="003312ED" w:rsidRDefault="005A2410" w:rsidP="00EE254F">
      <w:pPr>
        <w:pStyle w:val="Title"/>
      </w:pPr>
      <w:r>
        <w:t>what questions can you expect?</w:t>
      </w:r>
      <w:r w:rsidR="00C92C41">
        <w:br/>
      </w:r>
      <w:r w:rsidRPr="005A2410">
        <w:rPr>
          <w:sz w:val="24"/>
          <w:szCs w:val="24"/>
        </w:rPr>
        <w:t>economic issues: dISTRIBUTION OF WEALTH &amp; INCOME</w:t>
      </w:r>
    </w:p>
    <w:p w14:paraId="1202FF46" w14:textId="40CD9F93" w:rsidR="003312ED" w:rsidRDefault="005A2410">
      <w:pPr>
        <w:pStyle w:val="Heading2"/>
      </w:pPr>
      <w:r>
        <w:t>HSC 2017</w:t>
      </w:r>
    </w:p>
    <w:tbl>
      <w:tblPr>
        <w:tblStyle w:val="TipTable"/>
        <w:tblW w:w="5000" w:type="pct"/>
        <w:tblLook w:val="04A0" w:firstRow="1" w:lastRow="0" w:firstColumn="1" w:lastColumn="0" w:noHBand="0" w:noVBand="1"/>
        <w:tblDescription w:val="Layout table"/>
      </w:tblPr>
      <w:tblGrid>
        <w:gridCol w:w="577"/>
        <w:gridCol w:w="8783"/>
      </w:tblGrid>
      <w:tr w:rsidR="005D4DC9" w14:paraId="6507B69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807CAD8" w14:textId="77777777" w:rsidR="005D4DC9" w:rsidRDefault="005D4DC9" w:rsidP="007664E8">
            <w:bookmarkStart w:id="0" w:name="_Hlk68855902"/>
            <w:r>
              <w:rPr>
                <w:noProof/>
                <w:lang w:eastAsia="en-US"/>
              </w:rPr>
              <mc:AlternateContent>
                <mc:Choice Requires="wpg">
                  <w:drawing>
                    <wp:inline distT="0" distB="0" distL="0" distR="0" wp14:anchorId="4048E4D6" wp14:editId="477FC487">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BA919F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0ABC267" w14:textId="77777777" w:rsidR="006C417B" w:rsidRDefault="005A2410"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 xml:space="preserve">23 (b) </w:t>
            </w:r>
            <w:r w:rsidRPr="006C417B">
              <w:rPr>
                <w:rFonts w:ascii="Times New Roman" w:hAnsi="Times New Roman" w:cs="Times New Roman"/>
                <w:i w:val="0"/>
                <w:iCs w:val="0"/>
                <w:color w:val="231F20"/>
                <w:sz w:val="24"/>
                <w:szCs w:val="24"/>
                <w:lang w:val="en-AU"/>
              </w:rPr>
              <w:t>Explain TWO ways in which taxation can be used to change the Gini coefficient from 0.5 to 0.2.</w:t>
            </w:r>
          </w:p>
          <w:p w14:paraId="7DFD6C99" w14:textId="32570D73" w:rsidR="005D4DC9" w:rsidRPr="006C417B" w:rsidRDefault="005A2410" w:rsidP="006C417B">
            <w:pPr>
              <w:pStyle w:val="TipTex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 xml:space="preserve"> (4 marks)</w:t>
            </w:r>
          </w:p>
          <w:p w14:paraId="7E3C2942" w14:textId="3A9FAA79"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bookmarkEnd w:id="0"/>
    <w:p w14:paraId="1D905149" w14:textId="77777777" w:rsidR="005A2410" w:rsidRPr="005A2410" w:rsidRDefault="005A2410">
      <w:pPr>
        <w:rPr>
          <w:b/>
          <w:bCs/>
        </w:rPr>
      </w:pPr>
      <w:r w:rsidRPr="005A2410">
        <w:rPr>
          <w:b/>
          <w:bCs/>
        </w:rPr>
        <w:t xml:space="preserve">Sample answer: </w:t>
      </w:r>
    </w:p>
    <w:p w14:paraId="261D980D" w14:textId="77777777" w:rsidR="005A2410" w:rsidRDefault="005A2410">
      <w:r w:rsidRPr="005A2410">
        <w:t xml:space="preserve">Decreased income inequality can be achieved by increasing the top marginal rate of income tax which ensures that those on higher incomes pay relatively more tax than those on lower incomes. Alternatively, decreasing the rate of an indirect tax such as the goods and services tax will improve income equality as those on lower incomes tend to spend more and hence pay a greater proportion of their income in tax. </w:t>
      </w:r>
    </w:p>
    <w:p w14:paraId="4EF168FC" w14:textId="77777777" w:rsidR="005A2410" w:rsidRPr="005A2410" w:rsidRDefault="005A2410">
      <w:pPr>
        <w:rPr>
          <w:b/>
          <w:bCs/>
        </w:rPr>
      </w:pPr>
      <w:r w:rsidRPr="005A2410">
        <w:rPr>
          <w:b/>
          <w:bCs/>
        </w:rPr>
        <w:t xml:space="preserve">Answers could include: </w:t>
      </w:r>
    </w:p>
    <w:p w14:paraId="4FB47AE4" w14:textId="77777777" w:rsidR="005A2410" w:rsidRDefault="005A2410" w:rsidP="005A2410">
      <w:pPr>
        <w:spacing w:after="0" w:line="240" w:lineRule="auto"/>
      </w:pPr>
      <w:r w:rsidRPr="005A2410">
        <w:t xml:space="preserve">• Increasing capital gains (or wealth) tax </w:t>
      </w:r>
    </w:p>
    <w:p w14:paraId="008A12AD" w14:textId="77777777" w:rsidR="005A2410" w:rsidRDefault="005A2410" w:rsidP="005A2410">
      <w:pPr>
        <w:spacing w:after="0" w:line="240" w:lineRule="auto"/>
      </w:pPr>
      <w:r w:rsidRPr="005A2410">
        <w:t xml:space="preserve">• Increasing the tax free threshold </w:t>
      </w:r>
    </w:p>
    <w:p w14:paraId="50369D2B" w14:textId="783ABDA3" w:rsidR="005A2410" w:rsidRDefault="005A2410" w:rsidP="005A2410">
      <w:pPr>
        <w:spacing w:after="0" w:line="240" w:lineRule="auto"/>
      </w:pPr>
      <w:r w:rsidRPr="005A2410">
        <w:t xml:space="preserve">• Progressive/regressive taxes </w:t>
      </w:r>
    </w:p>
    <w:p w14:paraId="4109A223" w14:textId="77777777" w:rsidR="005A2410" w:rsidRDefault="005A2410" w:rsidP="005A2410">
      <w:pPr>
        <w:spacing w:after="0" w:line="240" w:lineRule="auto"/>
      </w:pPr>
      <w:r w:rsidRPr="005A2410">
        <w:t>• Make income tax system more progressive (lower tax rates on lower incomes)</w:t>
      </w:r>
    </w:p>
    <w:p w14:paraId="2DD067D8" w14:textId="77777777" w:rsidR="005A2410" w:rsidRDefault="005A2410" w:rsidP="005A2410">
      <w:pPr>
        <w:spacing w:after="0" w:line="240" w:lineRule="auto"/>
      </w:pPr>
      <w:r w:rsidRPr="005A2410">
        <w:t xml:space="preserve"> • Company tax reduction that creates more employment </w:t>
      </w:r>
    </w:p>
    <w:p w14:paraId="59FE535C" w14:textId="77777777" w:rsidR="005A2410" w:rsidRDefault="005A2410" w:rsidP="005A2410">
      <w:pPr>
        <w:spacing w:after="0" w:line="240" w:lineRule="auto"/>
      </w:pPr>
      <w:r w:rsidRPr="005A2410">
        <w:t xml:space="preserve">• Company tax increase that reduces profit distributions </w:t>
      </w:r>
    </w:p>
    <w:p w14:paraId="73F4DB87" w14:textId="1657EA81" w:rsidR="003312ED" w:rsidRDefault="005A2410" w:rsidP="005A2410">
      <w:pPr>
        <w:spacing w:after="0" w:line="240" w:lineRule="auto"/>
      </w:pPr>
      <w:r w:rsidRPr="005A2410">
        <w:t>• Reform of tax system to encourage people to move off welfare (or part-time work) into (full-time) employment.</w:t>
      </w:r>
    </w:p>
    <w:p w14:paraId="45CC0FCF" w14:textId="77777777" w:rsidR="005A2410" w:rsidRDefault="005A2410" w:rsidP="005A2410">
      <w:pPr>
        <w:spacing w:after="0" w:line="240" w:lineRule="auto"/>
      </w:pPr>
    </w:p>
    <w:p w14:paraId="648FB504" w14:textId="78205962" w:rsidR="005A2410" w:rsidRDefault="005A2410" w:rsidP="005A2410">
      <w:pPr>
        <w:spacing w:after="0" w:line="240" w:lineRule="auto"/>
      </w:pPr>
    </w:p>
    <w:tbl>
      <w:tblPr>
        <w:tblStyle w:val="TipTable"/>
        <w:tblW w:w="5000" w:type="pct"/>
        <w:tblLook w:val="04A0" w:firstRow="1" w:lastRow="0" w:firstColumn="1" w:lastColumn="0" w:noHBand="0" w:noVBand="1"/>
        <w:tblDescription w:val="Layout table"/>
      </w:tblPr>
      <w:tblGrid>
        <w:gridCol w:w="577"/>
        <w:gridCol w:w="8783"/>
      </w:tblGrid>
      <w:tr w:rsidR="005A2410" w14:paraId="267E2C83" w14:textId="77777777" w:rsidTr="00AD1242">
        <w:tc>
          <w:tcPr>
            <w:cnfStyle w:val="001000000000" w:firstRow="0" w:lastRow="0" w:firstColumn="1" w:lastColumn="0" w:oddVBand="0" w:evenVBand="0" w:oddHBand="0" w:evenHBand="0" w:firstRowFirstColumn="0" w:firstRowLastColumn="0" w:lastRowFirstColumn="0" w:lastRowLastColumn="0"/>
            <w:tcW w:w="308" w:type="pct"/>
          </w:tcPr>
          <w:p w14:paraId="24A9263A" w14:textId="77777777" w:rsidR="005A2410" w:rsidRDefault="005A2410" w:rsidP="00AD1242">
            <w:r>
              <w:rPr>
                <w:noProof/>
                <w:lang w:eastAsia="en-US"/>
              </w:rPr>
              <mc:AlternateContent>
                <mc:Choice Requires="wpg">
                  <w:drawing>
                    <wp:inline distT="0" distB="0" distL="0" distR="0" wp14:anchorId="517E6080" wp14:editId="7848F034">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A1BAD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xMpQgAAIw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zPxxMpQgAAIwoAAAOAAAAAAAAAAAAAAAAAC4CAABkcnMv&#10;ZTJvRG9jLnhtbFBLAQItABQABgAIAAAAIQAF4gw92QAAAAMBAAAPAAAAAAAAAAAAAAAAAP8KAABk&#10;cnMvZG93bnJldi54bWxQSwUGAAAAAAQABADzAAAABQ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" fillcolor="#2e75b6"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B5100C1" w14:textId="77777777" w:rsidR="006C417B" w:rsidRDefault="005A2410" w:rsidP="005A24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23 (b) Explain TWO ways in which taxation can be used to change the Gini coefficient from 0.5 to 0.2. </w:t>
            </w:r>
          </w:p>
          <w:p w14:paraId="082C474E" w14:textId="684DCA26" w:rsidR="005A2410" w:rsidRPr="006C417B" w:rsidRDefault="005A2410" w:rsidP="006C41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(4 marks)</w:t>
            </w:r>
          </w:p>
          <w:p w14:paraId="25B832B6" w14:textId="77777777" w:rsidR="005A2410" w:rsidRDefault="005A2410" w:rsidP="00AD1242">
            <w:pPr>
              <w:pStyle w:val="TipText"/>
              <w:cnfStyle w:val="000000000000" w:firstRow="0" w:lastRow="0" w:firstColumn="0" w:lastColumn="0" w:oddVBand="0" w:evenVBand="0" w:oddHBand="0" w:evenHBand="0" w:firstRowFirstColumn="0" w:firstRowLastColumn="0" w:lastRowFirstColumn="0" w:lastRowLastColumn="0"/>
            </w:pPr>
          </w:p>
        </w:tc>
      </w:tr>
    </w:tbl>
    <w:p w14:paraId="0C11E9E8" w14:textId="3350BDEE" w:rsidR="005A2410" w:rsidRDefault="005A2410" w:rsidP="005A2410">
      <w:pPr>
        <w:spacing w:after="0" w:line="240" w:lineRule="auto"/>
      </w:pPr>
    </w:p>
    <w:p w14:paraId="4DDF5FC2" w14:textId="77777777" w:rsidR="005A2410" w:rsidRPr="005A2410" w:rsidRDefault="005A2410" w:rsidP="005A2410">
      <w:pPr>
        <w:rPr>
          <w:b/>
          <w:bCs/>
        </w:rPr>
      </w:pPr>
      <w:r w:rsidRPr="005A2410">
        <w:rPr>
          <w:b/>
          <w:bCs/>
        </w:rPr>
        <w:t xml:space="preserve">Sample answer: </w:t>
      </w:r>
    </w:p>
    <w:p w14:paraId="217001A2" w14:textId="77777777" w:rsidR="005A2410" w:rsidRDefault="005A2410" w:rsidP="005A2410">
      <w:r w:rsidRPr="005A2410">
        <w:t xml:space="preserve">Two major sources of wealth are property and superannuation. Younger workers typically do not have the time to save sufficient funds to purchase property and so are forced to rent; nor do they have the opportunity to work long enough to accumulate superannuation. Women receive lower incomes on average than men and may also take significant times out of the workforce to have children. This impacts negatively on their ability to own property in their own right and also to accumulate superannuation. </w:t>
      </w:r>
    </w:p>
    <w:p w14:paraId="28DE5A52" w14:textId="77777777" w:rsidR="005A2410" w:rsidRDefault="005A2410" w:rsidP="005A2410">
      <w:pPr>
        <w:spacing w:after="0" w:line="240" w:lineRule="auto"/>
      </w:pPr>
    </w:p>
    <w:p w14:paraId="13BE9051" w14:textId="77777777" w:rsidR="005A2410" w:rsidRPr="005A2410" w:rsidRDefault="005A2410" w:rsidP="005A2410">
      <w:pPr>
        <w:rPr>
          <w:b/>
          <w:bCs/>
        </w:rPr>
      </w:pPr>
      <w:r w:rsidRPr="005A2410">
        <w:rPr>
          <w:b/>
          <w:bCs/>
        </w:rPr>
        <w:t xml:space="preserve">Answers could include: </w:t>
      </w:r>
    </w:p>
    <w:p w14:paraId="0366E2F8" w14:textId="77777777" w:rsidR="005A2410" w:rsidRDefault="005A2410" w:rsidP="005A2410">
      <w:pPr>
        <w:spacing w:after="0" w:line="240" w:lineRule="auto"/>
      </w:pPr>
      <w:r w:rsidRPr="005A2410">
        <w:rPr>
          <w:b/>
          <w:bCs/>
        </w:rPr>
        <w:t xml:space="preserve">• </w:t>
      </w:r>
      <w:r w:rsidRPr="005A2410">
        <w:t xml:space="preserve">Government policies that might not do enough to address income inequality driven by age/gender differences … childcare policies </w:t>
      </w:r>
    </w:p>
    <w:p w14:paraId="23DAB700" w14:textId="3DE488F5" w:rsidR="005A2410" w:rsidRDefault="005A2410" w:rsidP="005A2410">
      <w:pPr>
        <w:spacing w:after="0" w:line="240" w:lineRule="auto"/>
      </w:pPr>
      <w:r w:rsidRPr="005A2410">
        <w:t xml:space="preserve">• Family separation/structure </w:t>
      </w:r>
    </w:p>
    <w:p w14:paraId="3B9320A3" w14:textId="374719E7" w:rsidR="005A2410" w:rsidRDefault="005A2410" w:rsidP="005A2410">
      <w:pPr>
        <w:spacing w:after="0" w:line="240" w:lineRule="auto"/>
      </w:pPr>
      <w:r w:rsidRPr="005A2410">
        <w:t>• Workplace discrimination on the basis of age/gender.</w:t>
      </w:r>
    </w:p>
    <w:p w14:paraId="3DB97574" w14:textId="1AF51C55" w:rsidR="00EE254F" w:rsidRDefault="00EE254F" w:rsidP="005A2410">
      <w:pPr>
        <w:spacing w:after="0" w:line="240" w:lineRule="auto"/>
      </w:pPr>
    </w:p>
    <w:p w14:paraId="484CA353" w14:textId="09DB7600" w:rsidR="00EE254F" w:rsidRDefault="00EE254F">
      <w:r>
        <w:br w:type="page"/>
      </w:r>
    </w:p>
    <w:p w14:paraId="1396C2FB" w14:textId="5AC54839" w:rsidR="003312ED" w:rsidRDefault="005A2410">
      <w:pPr>
        <w:pStyle w:val="Heading2"/>
      </w:pPr>
      <w:r>
        <w:lastRenderedPageBreak/>
        <w:t>HSC 2018</w:t>
      </w:r>
    </w:p>
    <w:tbl>
      <w:tblPr>
        <w:tblStyle w:val="TipTable"/>
        <w:tblW w:w="5000" w:type="pct"/>
        <w:tblLook w:val="04A0" w:firstRow="1" w:lastRow="0" w:firstColumn="1" w:lastColumn="0" w:noHBand="0" w:noVBand="1"/>
        <w:tblDescription w:val="Layout table"/>
      </w:tblPr>
      <w:tblGrid>
        <w:gridCol w:w="577"/>
        <w:gridCol w:w="8783"/>
      </w:tblGrid>
      <w:tr w:rsidR="005D4DC9" w14:paraId="48AFD6F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9C2D141" w14:textId="77777777" w:rsidR="005D4DC9" w:rsidRDefault="005D4DC9" w:rsidP="007664E8">
            <w:r>
              <w:rPr>
                <w:noProof/>
                <w:lang w:eastAsia="en-US"/>
              </w:rPr>
              <mc:AlternateContent>
                <mc:Choice Requires="wpg">
                  <w:drawing>
                    <wp:inline distT="0" distB="0" distL="0" distR="0" wp14:anchorId="0BA34045" wp14:editId="10E546A6">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352152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9D67B5" w14:textId="77777777" w:rsidR="00EE254F" w:rsidRPr="00EE254F" w:rsidRDefault="00EE254F" w:rsidP="00EE254F">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EE254F">
              <w:rPr>
                <w:i/>
                <w:iCs/>
                <w:color w:val="595959" w:themeColor="text1" w:themeTint="A6"/>
                <w:sz w:val="16"/>
              </w:rPr>
              <w:t>8</w:t>
            </w:r>
          </w:p>
          <w:p w14:paraId="27E3F728" w14:textId="061DA4C0" w:rsidR="00EE254F"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8 </w:t>
            </w:r>
            <w:r w:rsidRPr="006C417B">
              <w:rPr>
                <w:rFonts w:ascii="Times New Roman" w:hAnsi="Times New Roman" w:cs="Times New Roman"/>
                <w:color w:val="231F20"/>
                <w:sz w:val="24"/>
                <w:szCs w:val="24"/>
                <w:lang w:val="en-AU"/>
              </w:rPr>
              <w:t xml:space="preserve">Country A’s Lorenz curve is closer to the line of perfect equality than Country B’s Lorenz curve. </w:t>
            </w:r>
          </w:p>
          <w:p w14:paraId="3A45FFE4" w14:textId="77777777" w:rsidR="006C417B" w:rsidRPr="006C417B" w:rsidRDefault="006C417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p>
          <w:p w14:paraId="2316CF4F" w14:textId="079F09A5" w:rsidR="00EE254F"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All other things being equal, which of the following is true? </w:t>
            </w:r>
          </w:p>
          <w:p w14:paraId="7B41B15D" w14:textId="77777777" w:rsidR="006C417B" w:rsidRPr="006C417B" w:rsidRDefault="006C417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p>
          <w:p w14:paraId="70290B7F" w14:textId="77777777" w:rsidR="00EE254F" w:rsidRPr="006C417B"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A. Country A has a larger Gini coefficient than country B. </w:t>
            </w:r>
          </w:p>
          <w:p w14:paraId="44885CEE" w14:textId="77777777" w:rsidR="00EE254F" w:rsidRPr="006C417B"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B. Country B has a more equitable distribution of income than country A. </w:t>
            </w:r>
          </w:p>
          <w:p w14:paraId="4B726C7E" w14:textId="77777777" w:rsidR="00EE254F" w:rsidRPr="006C417B"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C. Country A’s Lorenz curve will move closer to country B’s Lorenz curve if country A’s top marginal income tax rate is decreased.</w:t>
            </w:r>
          </w:p>
          <w:p w14:paraId="61E27BAF" w14:textId="27F21E8D" w:rsidR="005D4DC9" w:rsidRDefault="00EE254F" w:rsidP="006C417B">
            <w:pPr>
              <w:cnfStyle w:val="000000000000" w:firstRow="0" w:lastRow="0" w:firstColumn="0" w:lastColumn="0" w:oddVBand="0" w:evenVBand="0" w:oddHBand="0" w:evenHBand="0" w:firstRowFirstColumn="0" w:firstRowLastColumn="0" w:lastRowFirstColumn="0" w:lastRowLastColumn="0"/>
            </w:pPr>
            <w:r w:rsidRPr="006C417B">
              <w:rPr>
                <w:rFonts w:ascii="Times New Roman" w:hAnsi="Times New Roman" w:cs="Times New Roman"/>
                <w:color w:val="231F20"/>
                <w:sz w:val="24"/>
                <w:szCs w:val="24"/>
                <w:lang w:val="en-AU"/>
              </w:rPr>
              <w:t>D. Country B’s Lorenz curve will move closer to country A’s Lorenz curve if country B’s top marginal income tax rate is decreased.</w:t>
            </w:r>
            <w:r w:rsidR="008D6D77">
              <w:t xml:space="preserve"> </w:t>
            </w:r>
          </w:p>
        </w:tc>
      </w:tr>
    </w:tbl>
    <w:p w14:paraId="1CD5CABF" w14:textId="77777777" w:rsidR="003312ED" w:rsidRDefault="003312ED"/>
    <w:p w14:paraId="50CFCA24" w14:textId="397FF418" w:rsidR="003312ED" w:rsidRDefault="00EE254F">
      <w:pPr>
        <w:pStyle w:val="Heading2"/>
      </w:pPr>
      <w:r>
        <w:t>EBE TRIAL 2019</w:t>
      </w:r>
    </w:p>
    <w:tbl>
      <w:tblPr>
        <w:tblStyle w:val="TipTable"/>
        <w:tblW w:w="5000" w:type="pct"/>
        <w:tblLook w:val="04A0" w:firstRow="1" w:lastRow="0" w:firstColumn="1" w:lastColumn="0" w:noHBand="0" w:noVBand="1"/>
        <w:tblDescription w:val="Layout table"/>
      </w:tblPr>
      <w:tblGrid>
        <w:gridCol w:w="577"/>
        <w:gridCol w:w="8783"/>
      </w:tblGrid>
      <w:tr w:rsidR="005D4DC9" w14:paraId="4658658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E8AAF3A" w14:textId="77777777" w:rsidR="005D4DC9" w:rsidRDefault="005D4DC9" w:rsidP="007664E8">
            <w:r>
              <w:rPr>
                <w:noProof/>
                <w:lang w:eastAsia="en-US"/>
              </w:rPr>
              <mc:AlternateContent>
                <mc:Choice Requires="wpg">
                  <w:drawing>
                    <wp:inline distT="0" distB="0" distL="0" distR="0" wp14:anchorId="46D40EE5" wp14:editId="504C30B2">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8584DE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7106E8B" w14:textId="77777777" w:rsidR="005D4DC9" w:rsidRDefault="00EE254F"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25 </w:t>
            </w:r>
            <w:r w:rsidRPr="006C417B">
              <w:rPr>
                <w:rFonts w:ascii="Times New Roman" w:hAnsi="Times New Roman" w:cs="Times New Roman"/>
                <w:color w:val="231F20"/>
                <w:sz w:val="24"/>
                <w:szCs w:val="24"/>
                <w:lang w:val="en-AU"/>
              </w:rPr>
              <w:t>Assess the extent of inequality in the distribution of income and wealth in Australia.</w:t>
            </w:r>
          </w:p>
          <w:p w14:paraId="7D697E20" w14:textId="77777777" w:rsidR="006C417B" w:rsidRDefault="006C417B" w:rsidP="006C41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rPr>
            </w:pPr>
          </w:p>
          <w:p w14:paraId="61D95061" w14:textId="68ED9491" w:rsidR="006C417B" w:rsidRDefault="006C417B" w:rsidP="006C41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rPr>
            </w:pPr>
            <w:r>
              <w:rPr>
                <w:rFonts w:ascii="Times New Roman" w:hAnsi="Times New Roman" w:cs="Times New Roman"/>
                <w:color w:val="231F20"/>
                <w:sz w:val="24"/>
                <w:szCs w:val="24"/>
              </w:rPr>
              <w:t>20 marks</w:t>
            </w:r>
          </w:p>
          <w:p w14:paraId="39713058" w14:textId="1063DB1B" w:rsidR="006C417B" w:rsidRDefault="006C417B" w:rsidP="006C417B">
            <w:pPr>
              <w:jc w:val="right"/>
              <w:cnfStyle w:val="000000000000" w:firstRow="0" w:lastRow="0" w:firstColumn="0" w:lastColumn="0" w:oddVBand="0" w:evenVBand="0" w:oddHBand="0" w:evenHBand="0" w:firstRowFirstColumn="0" w:firstRowLastColumn="0" w:lastRowFirstColumn="0" w:lastRowLastColumn="0"/>
            </w:pPr>
          </w:p>
        </w:tc>
      </w:tr>
    </w:tbl>
    <w:p w14:paraId="483ACEEB" w14:textId="77777777" w:rsidR="003312ED" w:rsidRDefault="003312ED"/>
    <w:p w14:paraId="7F3AF100" w14:textId="77777777" w:rsidR="00EE254F" w:rsidRDefault="00EE254F" w:rsidP="00EE254F">
      <w:r>
        <w:t>Answers could include:</w:t>
      </w:r>
    </w:p>
    <w:p w14:paraId="133C86E9" w14:textId="77777777" w:rsidR="00EE254F" w:rsidRDefault="00EE254F" w:rsidP="00EE254F">
      <w:pPr>
        <w:spacing w:after="0" w:line="240" w:lineRule="auto"/>
      </w:pPr>
      <w:r>
        <w:t>• “Assess the extent….” - makes a judgement as to the significance of the inequality in the distribution of income and wealth in the Australian economy.</w:t>
      </w:r>
    </w:p>
    <w:p w14:paraId="14106081" w14:textId="77777777" w:rsidR="00EE254F" w:rsidRDefault="00EE254F" w:rsidP="00EE254F">
      <w:pPr>
        <w:spacing w:after="0" w:line="240" w:lineRule="auto"/>
      </w:pPr>
      <w:r>
        <w:t>• Income:</w:t>
      </w:r>
    </w:p>
    <w:p w14:paraId="5352EFC2" w14:textId="77777777" w:rsidR="00EE254F" w:rsidRDefault="00EE254F" w:rsidP="00EE254F">
      <w:pPr>
        <w:spacing w:after="0" w:line="240" w:lineRule="auto"/>
      </w:pPr>
      <w:r>
        <w:t>o Main source of household income as a percentage of GDP is wages, followed by welfare.</w:t>
      </w:r>
    </w:p>
    <w:p w14:paraId="2FC4B67A" w14:textId="77777777" w:rsidR="00EE254F" w:rsidRDefault="00EE254F" w:rsidP="00EE254F">
      <w:pPr>
        <w:spacing w:after="0" w:line="240" w:lineRule="auto"/>
      </w:pPr>
      <w:r>
        <w:t>o Gini coefficient has remained around 0.3 (OECD average).</w:t>
      </w:r>
    </w:p>
    <w:p w14:paraId="2899275C" w14:textId="77777777" w:rsidR="00EE254F" w:rsidRDefault="00EE254F" w:rsidP="00EE254F">
      <w:pPr>
        <w:spacing w:after="0" w:line="240" w:lineRule="auto"/>
      </w:pPr>
      <w:r>
        <w:t>o Increased income inequality in the mining boom due to higher returns on investments for high-income earners.</w:t>
      </w:r>
    </w:p>
    <w:p w14:paraId="1687C160" w14:textId="77777777" w:rsidR="00EE254F" w:rsidRDefault="00EE254F" w:rsidP="00EE254F">
      <w:pPr>
        <w:spacing w:after="0" w:line="240" w:lineRule="auto"/>
      </w:pPr>
      <w:r>
        <w:t>o Fall in income inequality since the GFC due to lower returns to capital.</w:t>
      </w:r>
    </w:p>
    <w:p w14:paraId="71124841" w14:textId="77777777" w:rsidR="00EE254F" w:rsidRDefault="00EE254F" w:rsidP="00EE254F">
      <w:pPr>
        <w:spacing w:after="0" w:line="240" w:lineRule="auto"/>
      </w:pPr>
      <w:r>
        <w:t>o Transfer payments.</w:t>
      </w:r>
    </w:p>
    <w:p w14:paraId="656AD149" w14:textId="77777777" w:rsidR="00EE254F" w:rsidRDefault="00EE254F" w:rsidP="00EE254F">
      <w:pPr>
        <w:spacing w:after="0" w:line="240" w:lineRule="auto"/>
      </w:pPr>
      <w:r>
        <w:t>o Progressive and regressive taxes.</w:t>
      </w:r>
    </w:p>
    <w:p w14:paraId="4DEBB81B" w14:textId="77777777" w:rsidR="00EE254F" w:rsidRDefault="00EE254F" w:rsidP="00EE254F">
      <w:pPr>
        <w:spacing w:after="0" w:line="240" w:lineRule="auto"/>
      </w:pPr>
      <w:r>
        <w:t>• Wealth:</w:t>
      </w:r>
    </w:p>
    <w:p w14:paraId="6702D4CC" w14:textId="77777777" w:rsidR="00EE254F" w:rsidRDefault="00EE254F" w:rsidP="00EE254F">
      <w:pPr>
        <w:spacing w:after="0" w:line="240" w:lineRule="auto"/>
      </w:pPr>
      <w:r>
        <w:t>o Main sources of wealth are superannuation and property.</w:t>
      </w:r>
    </w:p>
    <w:p w14:paraId="72AA9303" w14:textId="77777777" w:rsidR="00EE254F" w:rsidRDefault="00EE254F" w:rsidP="00EE254F">
      <w:pPr>
        <w:spacing w:after="0" w:line="240" w:lineRule="auto"/>
      </w:pPr>
      <w:r>
        <w:t>o Gini coefficient has grown over the past two decades.</w:t>
      </w:r>
    </w:p>
    <w:p w14:paraId="14D6D26D" w14:textId="77777777" w:rsidR="00EE254F" w:rsidRDefault="00EE254F" w:rsidP="00EE254F">
      <w:pPr>
        <w:spacing w:after="0" w:line="240" w:lineRule="auto"/>
      </w:pPr>
      <w:r>
        <w:t>o Increase in wealth inequality driven by property prices, and investment in commodity and financial industries.</w:t>
      </w:r>
    </w:p>
    <w:p w14:paraId="10536EA6" w14:textId="77777777" w:rsidR="00EE254F" w:rsidRDefault="00EE254F" w:rsidP="00EE254F">
      <w:pPr>
        <w:spacing w:after="0" w:line="240" w:lineRule="auto"/>
      </w:pPr>
      <w:r>
        <w:t>o Australia ranks in the bottom-third of OECD countries for wealth inequality.</w:t>
      </w:r>
    </w:p>
    <w:p w14:paraId="6BC8A1FB" w14:textId="77777777" w:rsidR="00EE254F" w:rsidRDefault="00EE254F" w:rsidP="00EE254F">
      <w:pPr>
        <w:spacing w:after="0" w:line="240" w:lineRule="auto"/>
      </w:pPr>
      <w:r>
        <w:t>• Lorenz curve</w:t>
      </w:r>
    </w:p>
    <w:p w14:paraId="0AFB058F" w14:textId="77777777" w:rsidR="00EE254F" w:rsidRDefault="00EE254F" w:rsidP="00EE254F">
      <w:pPr>
        <w:spacing w:after="0" w:line="240" w:lineRule="auto"/>
      </w:pPr>
      <w:r>
        <w:t>• Economic and social benefits of inequality</w:t>
      </w:r>
    </w:p>
    <w:p w14:paraId="5B10FDAA" w14:textId="77777777" w:rsidR="00EE254F" w:rsidRDefault="00EE254F" w:rsidP="00EE254F">
      <w:pPr>
        <w:spacing w:after="0" w:line="240" w:lineRule="auto"/>
      </w:pPr>
      <w:r>
        <w:t>o Incentive for further education.</w:t>
      </w:r>
    </w:p>
    <w:p w14:paraId="35E03DDF" w14:textId="77777777" w:rsidR="00EE254F" w:rsidRDefault="00EE254F" w:rsidP="00EE254F">
      <w:pPr>
        <w:spacing w:after="0" w:line="240" w:lineRule="auto"/>
      </w:pPr>
      <w:r>
        <w:t>o Incentive for labour productivity.</w:t>
      </w:r>
    </w:p>
    <w:p w14:paraId="76B2690D" w14:textId="77777777" w:rsidR="00EE254F" w:rsidRDefault="00EE254F" w:rsidP="00EE254F">
      <w:pPr>
        <w:spacing w:after="0" w:line="240" w:lineRule="auto"/>
      </w:pPr>
      <w:r>
        <w:t>o Incentive for entrepreneurship.</w:t>
      </w:r>
    </w:p>
    <w:p w14:paraId="35751E25" w14:textId="77777777" w:rsidR="00EE254F" w:rsidRDefault="00EE254F" w:rsidP="00EE254F">
      <w:pPr>
        <w:spacing w:after="0" w:line="240" w:lineRule="auto"/>
      </w:pPr>
      <w:r>
        <w:t>o Improves labour mobility.</w:t>
      </w:r>
    </w:p>
    <w:p w14:paraId="6912462F" w14:textId="77777777" w:rsidR="00EE254F" w:rsidRDefault="00EE254F" w:rsidP="00EE254F">
      <w:pPr>
        <w:spacing w:after="0" w:line="240" w:lineRule="auto"/>
      </w:pPr>
      <w:r>
        <w:t>o Creates savings for investment.</w:t>
      </w:r>
    </w:p>
    <w:p w14:paraId="7D1B639E" w14:textId="77777777" w:rsidR="00EE254F" w:rsidRDefault="00EE254F" w:rsidP="00EE254F">
      <w:pPr>
        <w:spacing w:after="0" w:line="240" w:lineRule="auto"/>
      </w:pPr>
      <w:r>
        <w:t>• Economic and social costs of inequality</w:t>
      </w:r>
    </w:p>
    <w:p w14:paraId="1EC9AFD8" w14:textId="77777777" w:rsidR="00EE254F" w:rsidRDefault="00EE254F" w:rsidP="00EE254F">
      <w:pPr>
        <w:spacing w:after="0" w:line="240" w:lineRule="auto"/>
      </w:pPr>
      <w:r>
        <w:t>o Lower consumption and growth.</w:t>
      </w:r>
    </w:p>
    <w:p w14:paraId="3A6BA64B" w14:textId="77777777" w:rsidR="00EE254F" w:rsidRDefault="00EE254F" w:rsidP="00EE254F">
      <w:pPr>
        <w:spacing w:after="0" w:line="240" w:lineRule="auto"/>
      </w:pPr>
      <w:r>
        <w:t>o Lower utility.</w:t>
      </w:r>
    </w:p>
    <w:p w14:paraId="4ED76742" w14:textId="77777777" w:rsidR="00EE254F" w:rsidRDefault="00EE254F" w:rsidP="00EE254F">
      <w:pPr>
        <w:spacing w:after="0" w:line="240" w:lineRule="auto"/>
      </w:pPr>
      <w:r>
        <w:t>o Welfare costs.</w:t>
      </w:r>
    </w:p>
    <w:p w14:paraId="38A12AEA" w14:textId="77777777" w:rsidR="00EE254F" w:rsidRDefault="00EE254F" w:rsidP="00EE254F">
      <w:pPr>
        <w:spacing w:after="0" w:line="240" w:lineRule="auto"/>
      </w:pPr>
      <w:r>
        <w:t>o Social divisions.</w:t>
      </w:r>
    </w:p>
    <w:p w14:paraId="19F827FB" w14:textId="21B86498" w:rsidR="00EE254F" w:rsidRDefault="00EE254F" w:rsidP="00EE254F">
      <w:pPr>
        <w:spacing w:after="0" w:line="240" w:lineRule="auto"/>
      </w:pPr>
      <w:r>
        <w:t>o Poverty trap.</w:t>
      </w:r>
    </w:p>
    <w:p w14:paraId="39F7DE94" w14:textId="7522B8EA" w:rsidR="00EE254F" w:rsidRDefault="00EE254F">
      <w:r>
        <w:br w:type="page"/>
      </w:r>
    </w:p>
    <w:p w14:paraId="5F02B39A" w14:textId="4D19CE8B" w:rsidR="003312ED" w:rsidRDefault="00EE254F" w:rsidP="00EE254F">
      <w:pPr>
        <w:pStyle w:val="Heading2"/>
      </w:pPr>
      <w:r>
        <w:lastRenderedPageBreak/>
        <w:t>HSC 2019</w:t>
      </w:r>
    </w:p>
    <w:tbl>
      <w:tblPr>
        <w:tblStyle w:val="TipTable"/>
        <w:tblW w:w="5000" w:type="pct"/>
        <w:tblLook w:val="04A0" w:firstRow="1" w:lastRow="0" w:firstColumn="1" w:lastColumn="0" w:noHBand="0" w:noVBand="1"/>
        <w:tblDescription w:val="Layout table"/>
      </w:tblPr>
      <w:tblGrid>
        <w:gridCol w:w="577"/>
        <w:gridCol w:w="8783"/>
      </w:tblGrid>
      <w:tr w:rsidR="005D4DC9" w14:paraId="481C41EA"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5B0FE3B" w14:textId="77777777" w:rsidR="005D4DC9" w:rsidRDefault="005D4DC9" w:rsidP="007664E8">
            <w:r>
              <w:rPr>
                <w:noProof/>
                <w:lang w:eastAsia="en-US"/>
              </w:rPr>
              <mc:AlternateContent>
                <mc:Choice Requires="wpg">
                  <w:drawing>
                    <wp:inline distT="0" distB="0" distL="0" distR="0" wp14:anchorId="15F4FDC6" wp14:editId="72B857FD">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846397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84FEA1B" w14:textId="17D05CE4" w:rsidR="005D4DC9" w:rsidRPr="006C417B" w:rsidRDefault="00F1530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 xml:space="preserve">11 </w:t>
            </w:r>
            <w:r w:rsidRPr="006C417B">
              <w:rPr>
                <w:rFonts w:ascii="Times New Roman" w:hAnsi="Times New Roman" w:cs="Times New Roman"/>
                <w:color w:val="231F20"/>
                <w:sz w:val="24"/>
                <w:szCs w:val="24"/>
                <w:lang w:val="en-AU"/>
              </w:rPr>
              <w:t>The following diagram shows the level of income in an economy over two years.</w:t>
            </w:r>
          </w:p>
          <w:p w14:paraId="2F884882" w14:textId="449FEB59" w:rsidR="00F1530B" w:rsidRPr="006C417B" w:rsidRDefault="00F1530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What changes in the top marginal rate of tax and the goods and services tax (GST) would have caused this shift in the Lorenz curve from Year 1 to Year 2?</w:t>
            </w:r>
          </w:p>
          <w:tbl>
            <w:tblPr>
              <w:tblW w:w="0" w:type="auto"/>
              <w:tblBorders>
                <w:top w:val="nil"/>
                <w:left w:val="nil"/>
                <w:bottom w:val="nil"/>
                <w:right w:val="nil"/>
              </w:tblBorders>
              <w:tblLook w:val="0000" w:firstRow="0" w:lastRow="0" w:firstColumn="0" w:lastColumn="0" w:noHBand="0" w:noVBand="0"/>
            </w:tblPr>
            <w:tblGrid>
              <w:gridCol w:w="3106"/>
              <w:gridCol w:w="2551"/>
              <w:gridCol w:w="17"/>
            </w:tblGrid>
            <w:tr w:rsidR="00F1530B" w:rsidRPr="006C417B" w14:paraId="64DB5997" w14:textId="77777777" w:rsidTr="00F1530B">
              <w:tblPrEx>
                <w:tblCellMar>
                  <w:top w:w="0" w:type="dxa"/>
                  <w:bottom w:w="0" w:type="dxa"/>
                </w:tblCellMar>
              </w:tblPrEx>
              <w:trPr>
                <w:trHeight w:val="203"/>
              </w:trPr>
              <w:tc>
                <w:tcPr>
                  <w:tcW w:w="3106" w:type="dxa"/>
                  <w:vAlign w:val="center"/>
                </w:tcPr>
                <w:p w14:paraId="355A29DF"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Top marginal rate of tax</w:t>
                  </w:r>
                </w:p>
              </w:tc>
              <w:tc>
                <w:tcPr>
                  <w:tcW w:w="2568" w:type="dxa"/>
                  <w:gridSpan w:val="2"/>
                  <w:vAlign w:val="center"/>
                </w:tcPr>
                <w:p w14:paraId="5F052EA5"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Goods and services tax (GST)</w:t>
                  </w:r>
                </w:p>
              </w:tc>
            </w:tr>
            <w:tr w:rsidR="00F1530B" w:rsidRPr="00F1530B" w14:paraId="07D8074B" w14:textId="77777777" w:rsidTr="00F1530B">
              <w:tblPrEx>
                <w:tblCellMar>
                  <w:top w:w="0" w:type="dxa"/>
                  <w:bottom w:w="0" w:type="dxa"/>
                </w:tblCellMar>
              </w:tblPrEx>
              <w:trPr>
                <w:gridAfter w:val="1"/>
                <w:wAfter w:w="17" w:type="dxa"/>
                <w:trHeight w:val="226"/>
              </w:trPr>
              <w:tc>
                <w:tcPr>
                  <w:tcW w:w="3106" w:type="dxa"/>
                  <w:vAlign w:val="center"/>
                </w:tcPr>
                <w:p w14:paraId="4E08D40A"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Increase</w:t>
                  </w:r>
                </w:p>
              </w:tc>
              <w:tc>
                <w:tcPr>
                  <w:tcW w:w="2551" w:type="dxa"/>
                  <w:vAlign w:val="center"/>
                </w:tcPr>
                <w:p w14:paraId="43BB69D6"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Increase</w:t>
                  </w:r>
                </w:p>
              </w:tc>
            </w:tr>
            <w:tr w:rsidR="00F1530B" w:rsidRPr="00F1530B" w14:paraId="58321D5E" w14:textId="77777777" w:rsidTr="00F1530B">
              <w:tblPrEx>
                <w:tblCellMar>
                  <w:top w:w="0" w:type="dxa"/>
                  <w:bottom w:w="0" w:type="dxa"/>
                </w:tblCellMar>
              </w:tblPrEx>
              <w:trPr>
                <w:gridAfter w:val="1"/>
                <w:wAfter w:w="17" w:type="dxa"/>
                <w:trHeight w:val="226"/>
              </w:trPr>
              <w:tc>
                <w:tcPr>
                  <w:tcW w:w="3106" w:type="dxa"/>
                  <w:vAlign w:val="center"/>
                </w:tcPr>
                <w:p w14:paraId="059C85D7"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Increase</w:t>
                  </w:r>
                </w:p>
              </w:tc>
              <w:tc>
                <w:tcPr>
                  <w:tcW w:w="2551" w:type="dxa"/>
                  <w:vAlign w:val="center"/>
                </w:tcPr>
                <w:p w14:paraId="60C7486B"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Decrease</w:t>
                  </w:r>
                </w:p>
              </w:tc>
            </w:tr>
            <w:tr w:rsidR="00F1530B" w:rsidRPr="00F1530B" w14:paraId="38C1A3A5" w14:textId="77777777" w:rsidTr="00F1530B">
              <w:tblPrEx>
                <w:tblCellMar>
                  <w:top w:w="0" w:type="dxa"/>
                  <w:bottom w:w="0" w:type="dxa"/>
                </w:tblCellMar>
              </w:tblPrEx>
              <w:trPr>
                <w:gridAfter w:val="1"/>
                <w:wAfter w:w="17" w:type="dxa"/>
                <w:trHeight w:val="226"/>
              </w:trPr>
              <w:tc>
                <w:tcPr>
                  <w:tcW w:w="3106" w:type="dxa"/>
                  <w:vAlign w:val="center"/>
                </w:tcPr>
                <w:p w14:paraId="159D7997"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Decrease</w:t>
                  </w:r>
                </w:p>
              </w:tc>
              <w:tc>
                <w:tcPr>
                  <w:tcW w:w="2551" w:type="dxa"/>
                  <w:vAlign w:val="center"/>
                </w:tcPr>
                <w:p w14:paraId="554E528C"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Increase</w:t>
                  </w:r>
                </w:p>
              </w:tc>
            </w:tr>
            <w:tr w:rsidR="00F1530B" w:rsidRPr="00F1530B" w14:paraId="4126DA8E" w14:textId="77777777" w:rsidTr="00F1530B">
              <w:tblPrEx>
                <w:tblCellMar>
                  <w:top w:w="0" w:type="dxa"/>
                  <w:bottom w:w="0" w:type="dxa"/>
                </w:tblCellMar>
              </w:tblPrEx>
              <w:trPr>
                <w:gridAfter w:val="1"/>
                <w:wAfter w:w="17" w:type="dxa"/>
                <w:trHeight w:val="225"/>
              </w:trPr>
              <w:tc>
                <w:tcPr>
                  <w:tcW w:w="3106" w:type="dxa"/>
                  <w:vAlign w:val="center"/>
                </w:tcPr>
                <w:p w14:paraId="77AFC229"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Decrease</w:t>
                  </w:r>
                </w:p>
              </w:tc>
              <w:tc>
                <w:tcPr>
                  <w:tcW w:w="2551" w:type="dxa"/>
                  <w:vAlign w:val="center"/>
                </w:tcPr>
                <w:p w14:paraId="2CB89B34" w14:textId="77777777" w:rsidR="00F1530B" w:rsidRPr="00F1530B" w:rsidRDefault="00F1530B" w:rsidP="006C417B">
                  <w:pPr>
                    <w:spacing w:after="0" w:line="240" w:lineRule="auto"/>
                    <w:rPr>
                      <w:rFonts w:ascii="Times New Roman" w:hAnsi="Times New Roman" w:cs="Times New Roman"/>
                      <w:color w:val="231F20"/>
                      <w:sz w:val="24"/>
                      <w:szCs w:val="24"/>
                      <w:lang w:val="en-AU"/>
                    </w:rPr>
                  </w:pPr>
                  <w:r w:rsidRPr="00F1530B">
                    <w:rPr>
                      <w:rFonts w:ascii="Times New Roman" w:hAnsi="Times New Roman" w:cs="Times New Roman"/>
                      <w:color w:val="231F20"/>
                      <w:sz w:val="24"/>
                      <w:szCs w:val="24"/>
                      <w:lang w:val="en-AU"/>
                    </w:rPr>
                    <w:t>Decrease</w:t>
                  </w:r>
                </w:p>
              </w:tc>
            </w:tr>
          </w:tbl>
          <w:p w14:paraId="7215C465" w14:textId="77777777" w:rsidR="00F1530B" w:rsidRDefault="00F1530B" w:rsidP="00F1530B">
            <w:pPr>
              <w:pStyle w:val="TipText"/>
              <w:cnfStyle w:val="000000000000" w:firstRow="0" w:lastRow="0" w:firstColumn="0" w:lastColumn="0" w:oddVBand="0" w:evenVBand="0" w:oddHBand="0" w:evenHBand="0" w:firstRowFirstColumn="0" w:firstRowLastColumn="0" w:lastRowFirstColumn="0" w:lastRowLastColumn="0"/>
            </w:pPr>
          </w:p>
        </w:tc>
      </w:tr>
    </w:tbl>
    <w:p w14:paraId="7F198525" w14:textId="0D9CDCDF" w:rsidR="003312ED" w:rsidRDefault="003312ED"/>
    <w:p w14:paraId="55D20F5B" w14:textId="08048FAC" w:rsidR="00F1530B" w:rsidRDefault="00F1530B" w:rsidP="00F1530B">
      <w:pPr>
        <w:jc w:val="center"/>
      </w:pPr>
      <w:r>
        <w:rPr>
          <w:noProof/>
        </w:rPr>
        <w:drawing>
          <wp:inline distT="0" distB="0" distL="0" distR="0" wp14:anchorId="3208756E" wp14:editId="098DBC6E">
            <wp:extent cx="2619048" cy="1666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048" cy="1666667"/>
                    </a:xfrm>
                    <a:prstGeom prst="rect">
                      <a:avLst/>
                    </a:prstGeom>
                  </pic:spPr>
                </pic:pic>
              </a:graphicData>
            </a:graphic>
          </wp:inline>
        </w:drawing>
      </w:r>
    </w:p>
    <w:tbl>
      <w:tblPr>
        <w:tblStyle w:val="TipTable"/>
        <w:tblW w:w="5000" w:type="pct"/>
        <w:tblLook w:val="04A0" w:firstRow="1" w:lastRow="0" w:firstColumn="1" w:lastColumn="0" w:noHBand="0" w:noVBand="1"/>
        <w:tblDescription w:val="Layout table"/>
      </w:tblPr>
      <w:tblGrid>
        <w:gridCol w:w="577"/>
        <w:gridCol w:w="8783"/>
      </w:tblGrid>
      <w:tr w:rsidR="00F1530B" w14:paraId="3C0B7795" w14:textId="77777777" w:rsidTr="00AD1242">
        <w:tc>
          <w:tcPr>
            <w:cnfStyle w:val="001000000000" w:firstRow="0" w:lastRow="0" w:firstColumn="1" w:lastColumn="0" w:oddVBand="0" w:evenVBand="0" w:oddHBand="0" w:evenHBand="0" w:firstRowFirstColumn="0" w:firstRowLastColumn="0" w:lastRowFirstColumn="0" w:lastRowLastColumn="0"/>
            <w:tcW w:w="308" w:type="pct"/>
          </w:tcPr>
          <w:p w14:paraId="71451E2E" w14:textId="77777777" w:rsidR="00F1530B" w:rsidRDefault="00F1530B" w:rsidP="00AD1242">
            <w:r>
              <w:rPr>
                <w:noProof/>
                <w:lang w:eastAsia="en-US"/>
              </w:rPr>
              <mc:AlternateContent>
                <mc:Choice Requires="wpg">
                  <w:drawing>
                    <wp:inline distT="0" distB="0" distL="0" distR="0" wp14:anchorId="1EF76633" wp14:editId="1418688E">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7"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00B0D8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Oot+HikCAAAjCgAAA4AAAAAAAAAAAAAAAAALgIAAGRycy9l&#10;Mm9Eb2MueG1sUEsBAi0AFAAGAAgAAAAhAAXiDD3ZAAAAAwEAAA8AAAAAAAAAAAAAAAAA/goAAGRy&#10;cy9kb3ducmV2LnhtbFBLBQYAAAAABAAEAPMAAAAEDA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" fillcolor="#2e75b6"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BDA0817" w14:textId="707425A0" w:rsidR="00F1530B" w:rsidRPr="006C417B" w:rsidRDefault="00F1530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b/>
                <w:bCs/>
                <w:color w:val="231F20"/>
                <w:sz w:val="24"/>
                <w:szCs w:val="24"/>
                <w:lang w:val="en-AU"/>
              </w:rPr>
              <w:t>Question 27</w:t>
            </w:r>
            <w:r w:rsidRPr="006C417B">
              <w:rPr>
                <w:rFonts w:ascii="Times New Roman" w:hAnsi="Times New Roman" w:cs="Times New Roman"/>
                <w:color w:val="231F20"/>
                <w:sz w:val="24"/>
                <w:szCs w:val="24"/>
                <w:lang w:val="en-AU"/>
              </w:rPr>
              <w:t xml:space="preserve"> </w:t>
            </w:r>
          </w:p>
          <w:p w14:paraId="17D901DA" w14:textId="77777777" w:rsidR="00F1530B" w:rsidRDefault="00F1530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Explain the causes and effects of unequal distribution of income and wealth in Australia.</w:t>
            </w:r>
          </w:p>
          <w:p w14:paraId="66D98E74" w14:textId="77777777" w:rsidR="006C417B" w:rsidRDefault="006C417B" w:rsidP="006C41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rPr>
            </w:pPr>
          </w:p>
          <w:p w14:paraId="0C5432AD" w14:textId="77777777" w:rsidR="006C417B" w:rsidRDefault="006C417B" w:rsidP="006C41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(20 marks)</w:t>
            </w:r>
          </w:p>
          <w:p w14:paraId="03A3C00D" w14:textId="33B6F14F" w:rsidR="006C417B" w:rsidRDefault="006C417B" w:rsidP="006C417B">
            <w:pPr>
              <w:jc w:val="right"/>
              <w:cnfStyle w:val="000000000000" w:firstRow="0" w:lastRow="0" w:firstColumn="0" w:lastColumn="0" w:oddVBand="0" w:evenVBand="0" w:oddHBand="0" w:evenHBand="0" w:firstRowFirstColumn="0" w:firstRowLastColumn="0" w:lastRowFirstColumn="0" w:lastRowLastColumn="0"/>
            </w:pPr>
          </w:p>
        </w:tc>
      </w:tr>
    </w:tbl>
    <w:p w14:paraId="4DA36231" w14:textId="1E929A13" w:rsidR="00F1530B" w:rsidRDefault="00F1530B"/>
    <w:p w14:paraId="4A9873A0" w14:textId="77777777" w:rsidR="00F1530B" w:rsidRDefault="00F1530B" w:rsidP="00F1530B">
      <w:pPr>
        <w:pStyle w:val="CM20"/>
        <w:spacing w:after="114"/>
        <w:jc w:val="both"/>
        <w:rPr>
          <w:color w:val="000000"/>
          <w:sz w:val="21"/>
          <w:szCs w:val="21"/>
        </w:rPr>
      </w:pPr>
      <w:r>
        <w:rPr>
          <w:b/>
          <w:bCs/>
          <w:i/>
          <w:iCs/>
          <w:color w:val="000000"/>
          <w:sz w:val="21"/>
          <w:szCs w:val="21"/>
        </w:rPr>
        <w:t xml:space="preserve">Answers could include: </w:t>
      </w:r>
    </w:p>
    <w:p w14:paraId="55989F3C" w14:textId="54BC0803" w:rsidR="00F1530B" w:rsidRDefault="00F1530B" w:rsidP="00F1530B">
      <w:pPr>
        <w:pStyle w:val="Default"/>
        <w:spacing w:after="18"/>
        <w:rPr>
          <w:sz w:val="21"/>
          <w:szCs w:val="21"/>
        </w:rPr>
      </w:pPr>
      <w:r w:rsidRPr="00F1530B">
        <w:rPr>
          <w:sz w:val="21"/>
          <w:szCs w:val="21"/>
        </w:rPr>
        <w:t xml:space="preserve">• </w:t>
      </w:r>
      <w:r>
        <w:rPr>
          <w:sz w:val="21"/>
          <w:szCs w:val="21"/>
        </w:rPr>
        <w:t xml:space="preserve">Definition of distribution of income and wealth </w:t>
      </w:r>
    </w:p>
    <w:p w14:paraId="5B21A008" w14:textId="366BB12D" w:rsidR="00F1530B" w:rsidRDefault="00F1530B" w:rsidP="00F1530B">
      <w:pPr>
        <w:pStyle w:val="Default"/>
        <w:rPr>
          <w:sz w:val="21"/>
          <w:szCs w:val="21"/>
        </w:rPr>
      </w:pPr>
      <w:r w:rsidRPr="00F1530B">
        <w:rPr>
          <w:sz w:val="21"/>
          <w:szCs w:val="21"/>
        </w:rPr>
        <w:t xml:space="preserve">• </w:t>
      </w:r>
      <w:r>
        <w:rPr>
          <w:sz w:val="21"/>
          <w:szCs w:val="21"/>
        </w:rPr>
        <w:t xml:space="preserve">Measuring of income and wealth </w:t>
      </w:r>
    </w:p>
    <w:p w14:paraId="34052794" w14:textId="77777777" w:rsidR="00F1530B" w:rsidRDefault="00F1530B" w:rsidP="00F1530B">
      <w:pPr>
        <w:pStyle w:val="Default"/>
        <w:rPr>
          <w:sz w:val="21"/>
          <w:szCs w:val="21"/>
        </w:rPr>
      </w:pPr>
      <w:r>
        <w:rPr>
          <w:rFonts w:ascii="HEJGN K+ Times" w:hAnsi="HEJGN K+ Times" w:cs="HEJGN K+ Times"/>
          <w:sz w:val="21"/>
          <w:szCs w:val="21"/>
        </w:rPr>
        <w:t xml:space="preserve">• </w:t>
      </w:r>
      <w:r>
        <w:rPr>
          <w:sz w:val="21"/>
          <w:szCs w:val="21"/>
        </w:rPr>
        <w:t>Causes of inequality (</w:t>
      </w:r>
      <w:proofErr w:type="spellStart"/>
      <w:r>
        <w:rPr>
          <w:sz w:val="21"/>
          <w:szCs w:val="21"/>
        </w:rPr>
        <w:t>eg</w:t>
      </w:r>
      <w:proofErr w:type="spellEnd"/>
      <w:r>
        <w:rPr>
          <w:sz w:val="21"/>
          <w:szCs w:val="21"/>
        </w:rPr>
        <w:t xml:space="preserve"> gender, age, policies) </w:t>
      </w:r>
    </w:p>
    <w:p w14:paraId="44CC15FB" w14:textId="77777777" w:rsidR="00F1530B" w:rsidRDefault="00F1530B" w:rsidP="00F1530B">
      <w:pPr>
        <w:pStyle w:val="Default"/>
        <w:numPr>
          <w:ilvl w:val="2"/>
          <w:numId w:val="16"/>
        </w:numPr>
        <w:spacing w:after="13"/>
        <w:ind w:left="360"/>
        <w:rPr>
          <w:sz w:val="21"/>
          <w:szCs w:val="21"/>
        </w:rPr>
      </w:pPr>
      <w:r>
        <w:rPr>
          <w:sz w:val="21"/>
          <w:szCs w:val="21"/>
        </w:rPr>
        <w:t xml:space="preserve">Sources of income and wealth (and variation within them) </w:t>
      </w:r>
    </w:p>
    <w:p w14:paraId="64742762" w14:textId="77777777" w:rsidR="00F1530B" w:rsidRDefault="00F1530B" w:rsidP="00F1530B">
      <w:pPr>
        <w:pStyle w:val="Default"/>
        <w:numPr>
          <w:ilvl w:val="2"/>
          <w:numId w:val="16"/>
        </w:numPr>
        <w:spacing w:after="13"/>
        <w:ind w:left="360"/>
        <w:rPr>
          <w:sz w:val="21"/>
          <w:szCs w:val="21"/>
        </w:rPr>
      </w:pPr>
      <w:r>
        <w:rPr>
          <w:sz w:val="21"/>
          <w:szCs w:val="21"/>
        </w:rPr>
        <w:t xml:space="preserve">Gender </w:t>
      </w:r>
    </w:p>
    <w:p w14:paraId="5717B557" w14:textId="77777777" w:rsidR="00F1530B" w:rsidRDefault="00F1530B" w:rsidP="00F1530B">
      <w:pPr>
        <w:pStyle w:val="Default"/>
        <w:numPr>
          <w:ilvl w:val="2"/>
          <w:numId w:val="16"/>
        </w:numPr>
        <w:spacing w:after="13"/>
        <w:ind w:left="360"/>
        <w:rPr>
          <w:sz w:val="21"/>
          <w:szCs w:val="21"/>
        </w:rPr>
      </w:pPr>
      <w:r>
        <w:rPr>
          <w:sz w:val="21"/>
          <w:szCs w:val="21"/>
        </w:rPr>
        <w:t xml:space="preserve">Age </w:t>
      </w:r>
    </w:p>
    <w:p w14:paraId="4394A32C" w14:textId="77777777" w:rsidR="00F1530B" w:rsidRDefault="00F1530B" w:rsidP="00F1530B">
      <w:pPr>
        <w:pStyle w:val="Default"/>
        <w:numPr>
          <w:ilvl w:val="2"/>
          <w:numId w:val="16"/>
        </w:numPr>
        <w:spacing w:after="13"/>
        <w:ind w:left="360"/>
        <w:rPr>
          <w:sz w:val="21"/>
          <w:szCs w:val="21"/>
        </w:rPr>
      </w:pPr>
      <w:r>
        <w:rPr>
          <w:sz w:val="21"/>
          <w:szCs w:val="21"/>
        </w:rPr>
        <w:t xml:space="preserve">Education </w:t>
      </w:r>
    </w:p>
    <w:p w14:paraId="38449D49" w14:textId="77777777" w:rsidR="00F1530B" w:rsidRDefault="00F1530B" w:rsidP="00F1530B">
      <w:pPr>
        <w:pStyle w:val="Default"/>
        <w:numPr>
          <w:ilvl w:val="2"/>
          <w:numId w:val="16"/>
        </w:numPr>
        <w:spacing w:after="13"/>
        <w:ind w:left="360"/>
        <w:rPr>
          <w:sz w:val="21"/>
          <w:szCs w:val="21"/>
        </w:rPr>
      </w:pPr>
      <w:r>
        <w:rPr>
          <w:sz w:val="21"/>
          <w:szCs w:val="21"/>
        </w:rPr>
        <w:t xml:space="preserve">Occupation </w:t>
      </w:r>
    </w:p>
    <w:p w14:paraId="3B52CC3E" w14:textId="77777777" w:rsidR="00F1530B" w:rsidRDefault="00F1530B" w:rsidP="00F1530B">
      <w:pPr>
        <w:pStyle w:val="Default"/>
        <w:numPr>
          <w:ilvl w:val="2"/>
          <w:numId w:val="16"/>
        </w:numPr>
        <w:spacing w:after="13"/>
        <w:ind w:left="360"/>
        <w:rPr>
          <w:sz w:val="21"/>
          <w:szCs w:val="21"/>
        </w:rPr>
      </w:pPr>
      <w:r>
        <w:rPr>
          <w:sz w:val="21"/>
          <w:szCs w:val="21"/>
        </w:rPr>
        <w:t xml:space="preserve">Family/household structure </w:t>
      </w:r>
    </w:p>
    <w:p w14:paraId="72722E60" w14:textId="77777777" w:rsidR="00F1530B" w:rsidRDefault="00F1530B" w:rsidP="00F1530B">
      <w:pPr>
        <w:pStyle w:val="Default"/>
        <w:numPr>
          <w:ilvl w:val="2"/>
          <w:numId w:val="16"/>
        </w:numPr>
        <w:spacing w:after="13"/>
        <w:ind w:left="360"/>
        <w:rPr>
          <w:sz w:val="21"/>
          <w:szCs w:val="21"/>
        </w:rPr>
      </w:pPr>
      <w:r>
        <w:rPr>
          <w:sz w:val="21"/>
          <w:szCs w:val="21"/>
        </w:rPr>
        <w:t xml:space="preserve">Fiscal policy – GST, marginal rates of tax, social welfare </w:t>
      </w:r>
    </w:p>
    <w:p w14:paraId="216A207F" w14:textId="77777777" w:rsidR="00F1530B" w:rsidRDefault="00F1530B" w:rsidP="00F1530B">
      <w:pPr>
        <w:pStyle w:val="Default"/>
        <w:numPr>
          <w:ilvl w:val="2"/>
          <w:numId w:val="16"/>
        </w:numPr>
        <w:spacing w:after="13"/>
        <w:ind w:left="360"/>
        <w:rPr>
          <w:sz w:val="21"/>
          <w:szCs w:val="21"/>
        </w:rPr>
      </w:pPr>
      <w:r>
        <w:rPr>
          <w:sz w:val="21"/>
          <w:szCs w:val="21"/>
        </w:rPr>
        <w:t xml:space="preserve">Monetary policy – redistribution effect </w:t>
      </w:r>
    </w:p>
    <w:p w14:paraId="7F6D7948" w14:textId="77777777" w:rsidR="00F1530B" w:rsidRDefault="00F1530B" w:rsidP="00F1530B">
      <w:pPr>
        <w:pStyle w:val="Default"/>
        <w:numPr>
          <w:ilvl w:val="2"/>
          <w:numId w:val="16"/>
        </w:numPr>
        <w:spacing w:after="13"/>
        <w:ind w:left="360"/>
        <w:rPr>
          <w:sz w:val="21"/>
          <w:szCs w:val="21"/>
        </w:rPr>
      </w:pPr>
      <w:r>
        <w:rPr>
          <w:sz w:val="21"/>
          <w:szCs w:val="21"/>
        </w:rPr>
        <w:t xml:space="preserve">Microeconomic/labour market – enterprise bargaining, superannuation </w:t>
      </w:r>
    </w:p>
    <w:p w14:paraId="25D2B47F" w14:textId="6FBB468C" w:rsidR="00F1530B" w:rsidRDefault="00F1530B" w:rsidP="00F1530B">
      <w:pPr>
        <w:pStyle w:val="Default"/>
        <w:numPr>
          <w:ilvl w:val="2"/>
          <w:numId w:val="16"/>
        </w:numPr>
        <w:ind w:left="360"/>
        <w:rPr>
          <w:sz w:val="21"/>
          <w:szCs w:val="21"/>
        </w:rPr>
      </w:pPr>
      <w:r>
        <w:rPr>
          <w:sz w:val="21"/>
          <w:szCs w:val="21"/>
        </w:rPr>
        <w:t xml:space="preserve">Effect of income on wealth </w:t>
      </w:r>
    </w:p>
    <w:p w14:paraId="77A43ED9" w14:textId="77777777" w:rsidR="00F1530B" w:rsidRPr="00F1530B" w:rsidRDefault="00F1530B" w:rsidP="00F1530B">
      <w:pPr>
        <w:autoSpaceDE w:val="0"/>
        <w:autoSpaceDN w:val="0"/>
        <w:adjustRightInd w:val="0"/>
        <w:spacing w:after="0" w:line="240" w:lineRule="auto"/>
        <w:rPr>
          <w:rFonts w:ascii="HEJGN K+ Times" w:hAnsi="HEJGN K+ Times" w:cs="HEJGN K+ Times"/>
          <w:color w:val="000000"/>
          <w:sz w:val="24"/>
          <w:szCs w:val="24"/>
          <w:lang w:val="en-AU"/>
        </w:rPr>
      </w:pPr>
    </w:p>
    <w:p w14:paraId="730C00D7" w14:textId="77777777" w:rsidR="00F1530B" w:rsidRPr="00F1530B" w:rsidRDefault="00F1530B" w:rsidP="00F1530B">
      <w:pPr>
        <w:autoSpaceDE w:val="0"/>
        <w:autoSpaceDN w:val="0"/>
        <w:adjustRightInd w:val="0"/>
        <w:spacing w:after="0" w:line="240" w:lineRule="auto"/>
        <w:rPr>
          <w:rFonts w:ascii="Arial" w:hAnsi="Arial" w:cs="Arial"/>
          <w:color w:val="000000"/>
          <w:sz w:val="21"/>
          <w:szCs w:val="21"/>
          <w:lang w:val="en-AU"/>
        </w:rPr>
      </w:pPr>
      <w:bookmarkStart w:id="1" w:name="_Hlk68864195"/>
      <w:r w:rsidRPr="00F1530B">
        <w:rPr>
          <w:rFonts w:ascii="HEJGN K+ Times" w:hAnsi="HEJGN K+ Times" w:cs="HEJGN K+ Times"/>
          <w:color w:val="000000"/>
          <w:sz w:val="21"/>
          <w:szCs w:val="21"/>
          <w:lang w:val="en-AU"/>
        </w:rPr>
        <w:t xml:space="preserve">• </w:t>
      </w:r>
      <w:bookmarkEnd w:id="1"/>
      <w:r w:rsidRPr="00F1530B">
        <w:rPr>
          <w:rFonts w:ascii="Arial" w:hAnsi="Arial" w:cs="Arial"/>
          <w:color w:val="000000"/>
          <w:sz w:val="21"/>
          <w:szCs w:val="21"/>
          <w:lang w:val="en-AU"/>
        </w:rPr>
        <w:t xml:space="preserve">Benefits of Inequality </w:t>
      </w:r>
    </w:p>
    <w:p w14:paraId="2E893B9B"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Incentive effects – working harder/longer, acquiring skills, risk-taking </w:t>
      </w:r>
    </w:p>
    <w:p w14:paraId="61C07AC1"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Geographic and occupational mobility </w:t>
      </w:r>
    </w:p>
    <w:p w14:paraId="303228F6"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lastRenderedPageBreak/>
        <w:t xml:space="preserve">Accumulates savings (could boost investment leading to economic growth) </w:t>
      </w:r>
    </w:p>
    <w:p w14:paraId="0F5A3FF5" w14:textId="2C2277CB" w:rsidR="00F1530B" w:rsidRPr="00F1530B" w:rsidRDefault="00F1530B" w:rsidP="00F1530B">
      <w:pPr>
        <w:autoSpaceDE w:val="0"/>
        <w:autoSpaceDN w:val="0"/>
        <w:adjustRightInd w:val="0"/>
        <w:spacing w:after="0" w:line="240" w:lineRule="auto"/>
        <w:rPr>
          <w:rFonts w:ascii="Arial" w:hAnsi="Arial" w:cs="Arial"/>
          <w:color w:val="000000"/>
          <w:sz w:val="21"/>
          <w:szCs w:val="21"/>
          <w:lang w:val="en-AU"/>
        </w:rPr>
      </w:pPr>
      <w:r w:rsidRPr="00F1530B">
        <w:rPr>
          <w:rFonts w:ascii="Arial" w:hAnsi="Arial" w:cs="Arial"/>
          <w:color w:val="000000"/>
          <w:sz w:val="21"/>
          <w:szCs w:val="21"/>
          <w:lang w:val="en-AU"/>
        </w:rPr>
        <w:t xml:space="preserve">• Costs of Inequality </w:t>
      </w:r>
    </w:p>
    <w:p w14:paraId="145464A3"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Lower utility in lower income groups (and on average) </w:t>
      </w:r>
    </w:p>
    <w:p w14:paraId="04A57166"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Higher government spending due to welfare spending </w:t>
      </w:r>
    </w:p>
    <w:p w14:paraId="59FC01A9"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Increased tax burden </w:t>
      </w:r>
    </w:p>
    <w:p w14:paraId="33D8A5A9"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Social division </w:t>
      </w:r>
    </w:p>
    <w:p w14:paraId="19580223"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Relative poverty </w:t>
      </w:r>
    </w:p>
    <w:p w14:paraId="6056C5F7"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Working poor </w:t>
      </w:r>
    </w:p>
    <w:p w14:paraId="7BF578FB"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Poverty traps (marginalisation of labour) </w:t>
      </w:r>
    </w:p>
    <w:p w14:paraId="132F36BD"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Inequality of opportunity </w:t>
      </w:r>
    </w:p>
    <w:p w14:paraId="1553A663" w14:textId="77777777" w:rsidR="00F1530B" w:rsidRPr="00F1530B" w:rsidRDefault="00F1530B" w:rsidP="00F1530B">
      <w:pPr>
        <w:numPr>
          <w:ilvl w:val="2"/>
          <w:numId w:val="17"/>
        </w:numPr>
        <w:autoSpaceDE w:val="0"/>
        <w:autoSpaceDN w:val="0"/>
        <w:adjustRightInd w:val="0"/>
        <w:spacing w:after="0" w:line="240" w:lineRule="auto"/>
        <w:ind w:left="360"/>
        <w:rPr>
          <w:rFonts w:ascii="Arial" w:hAnsi="Arial" w:cs="Arial"/>
          <w:color w:val="000000"/>
          <w:sz w:val="21"/>
          <w:szCs w:val="21"/>
          <w:lang w:val="en-AU"/>
        </w:rPr>
      </w:pPr>
      <w:r w:rsidRPr="00F1530B">
        <w:rPr>
          <w:rFonts w:ascii="Arial" w:hAnsi="Arial" w:cs="Arial"/>
          <w:color w:val="000000"/>
          <w:sz w:val="21"/>
          <w:szCs w:val="21"/>
          <w:lang w:val="en-AU"/>
        </w:rPr>
        <w:t xml:space="preserve">Possible lower APC as rich tend to spend less (could reduce economic growth). </w:t>
      </w:r>
    </w:p>
    <w:p w14:paraId="4522E082" w14:textId="77777777" w:rsidR="00F1530B" w:rsidRPr="00F1530B" w:rsidRDefault="00F1530B" w:rsidP="00F1530B">
      <w:pPr>
        <w:autoSpaceDE w:val="0"/>
        <w:autoSpaceDN w:val="0"/>
        <w:adjustRightInd w:val="0"/>
        <w:spacing w:after="0" w:line="240" w:lineRule="auto"/>
        <w:rPr>
          <w:rFonts w:ascii="Arial" w:hAnsi="Arial" w:cs="Arial"/>
          <w:color w:val="000000"/>
          <w:sz w:val="21"/>
          <w:szCs w:val="21"/>
          <w:lang w:val="en-AU"/>
        </w:rPr>
      </w:pPr>
    </w:p>
    <w:p w14:paraId="1115E62A" w14:textId="4ACE0DE3" w:rsidR="003312ED" w:rsidRDefault="00FD37CA">
      <w:pPr>
        <w:pStyle w:val="Heading2"/>
      </w:pPr>
      <w:r>
        <w:t>EBE TRIAL 2020</w:t>
      </w:r>
    </w:p>
    <w:tbl>
      <w:tblPr>
        <w:tblStyle w:val="TipTable"/>
        <w:tblW w:w="5000" w:type="pct"/>
        <w:tblLook w:val="04A0" w:firstRow="1" w:lastRow="0" w:firstColumn="1" w:lastColumn="0" w:noHBand="0" w:noVBand="1"/>
        <w:tblDescription w:val="Layout table"/>
      </w:tblPr>
      <w:tblGrid>
        <w:gridCol w:w="577"/>
        <w:gridCol w:w="8783"/>
      </w:tblGrid>
      <w:tr w:rsidR="005D4DC9" w14:paraId="5763105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02B8758" w14:textId="77777777" w:rsidR="005D4DC9" w:rsidRPr="006C417B" w:rsidRDefault="005D4DC9" w:rsidP="007664E8">
            <w:pPr>
              <w:rPr>
                <w:rFonts w:ascii="Times New Roman" w:hAnsi="Times New Roman" w:cs="Times New Roman"/>
                <w:color w:val="231F20"/>
                <w:sz w:val="24"/>
                <w:szCs w:val="24"/>
                <w:lang w:val="en-AU"/>
              </w:rPr>
            </w:pPr>
            <w:bookmarkStart w:id="2" w:name="_Hlk68864088"/>
            <w:r w:rsidRPr="006C417B">
              <w:rPr>
                <w:rFonts w:ascii="Times New Roman" w:hAnsi="Times New Roman" w:cs="Times New Roman"/>
                <w:color w:val="231F20"/>
                <w:sz w:val="24"/>
                <w:szCs w:val="24"/>
                <w:lang w:val="en-AU"/>
              </w:rPr>
              <mc:AlternateContent>
                <mc:Choice Requires="wpg">
                  <w:drawing>
                    <wp:inline distT="0" distB="0" distL="0" distR="0" wp14:anchorId="2514748E" wp14:editId="1CC837F1">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4DD54B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F3B6BA1" w14:textId="77777777" w:rsidR="005D4DC9" w:rsidRPr="006C417B" w:rsidRDefault="00FD37CA"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 xml:space="preserve">12 </w:t>
            </w:r>
            <w:r w:rsidRPr="006C417B">
              <w:rPr>
                <w:rFonts w:ascii="Times New Roman" w:hAnsi="Times New Roman" w:cs="Times New Roman"/>
                <w:i w:val="0"/>
                <w:iCs w:val="0"/>
                <w:color w:val="231F20"/>
                <w:sz w:val="24"/>
                <w:szCs w:val="24"/>
                <w:lang w:val="en-AU"/>
              </w:rPr>
              <w:t>The table shows data for a hypothetical country.</w:t>
            </w:r>
          </w:p>
          <w:p w14:paraId="1A9B441F" w14:textId="77777777" w:rsidR="00FD37CA" w:rsidRPr="006C417B" w:rsidRDefault="00FD37CA" w:rsidP="00FD37CA">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Which of the following describes the change between Year 1 and Year 2?</w:t>
            </w:r>
          </w:p>
          <w:p w14:paraId="51911102" w14:textId="77777777" w:rsidR="00FD37CA" w:rsidRPr="006C417B" w:rsidRDefault="00FD37CA" w:rsidP="00FD37CA">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A. Prices rose and income inequality increased</w:t>
            </w:r>
          </w:p>
          <w:p w14:paraId="454658F6" w14:textId="77777777" w:rsidR="00FD37CA" w:rsidRPr="006C417B" w:rsidRDefault="00FD37CA" w:rsidP="00FD37CA">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B. Prices rose and income inequality decreased</w:t>
            </w:r>
          </w:p>
          <w:p w14:paraId="36CFAA09" w14:textId="77777777" w:rsidR="00FD37CA" w:rsidRPr="006C417B" w:rsidRDefault="00FD37CA" w:rsidP="00FD37CA">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C. Prices fell and income inequality increased</w:t>
            </w:r>
          </w:p>
          <w:p w14:paraId="70F3E347" w14:textId="57BAFED9" w:rsidR="00FD37CA" w:rsidRPr="006C417B" w:rsidRDefault="00FD37CA" w:rsidP="00FD37CA">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231F20"/>
                <w:sz w:val="24"/>
                <w:szCs w:val="24"/>
                <w:lang w:val="en-AU"/>
              </w:rPr>
            </w:pPr>
            <w:r w:rsidRPr="006C417B">
              <w:rPr>
                <w:rFonts w:ascii="Times New Roman" w:hAnsi="Times New Roman" w:cs="Times New Roman"/>
                <w:i w:val="0"/>
                <w:iCs w:val="0"/>
                <w:color w:val="231F20"/>
                <w:sz w:val="24"/>
                <w:szCs w:val="24"/>
                <w:lang w:val="en-AU"/>
              </w:rPr>
              <w:t>D. Prices fell and income inequality decreased</w:t>
            </w:r>
          </w:p>
        </w:tc>
      </w:tr>
      <w:bookmarkEnd w:id="2"/>
    </w:tbl>
    <w:p w14:paraId="0E774CC0" w14:textId="27C20C87" w:rsidR="003312ED" w:rsidRDefault="003312ED"/>
    <w:tbl>
      <w:tblPr>
        <w:tblW w:w="0" w:type="auto"/>
        <w:tblInd w:w="1963" w:type="dxa"/>
        <w:tblLayout w:type="fixed"/>
        <w:tblCellMar>
          <w:left w:w="0" w:type="dxa"/>
          <w:right w:w="0" w:type="dxa"/>
        </w:tblCellMar>
        <w:tblLook w:val="0000" w:firstRow="0" w:lastRow="0" w:firstColumn="0" w:lastColumn="0" w:noHBand="0" w:noVBand="0"/>
      </w:tblPr>
      <w:tblGrid>
        <w:gridCol w:w="1439"/>
        <w:gridCol w:w="2132"/>
        <w:gridCol w:w="1926"/>
      </w:tblGrid>
      <w:tr w:rsidR="00FD37CA" w:rsidRPr="00FD37CA" w14:paraId="3AF3FE52" w14:textId="77777777">
        <w:tblPrEx>
          <w:tblCellMar>
            <w:top w:w="0" w:type="dxa"/>
            <w:left w:w="0" w:type="dxa"/>
            <w:bottom w:w="0" w:type="dxa"/>
            <w:right w:w="0" w:type="dxa"/>
          </w:tblCellMar>
        </w:tblPrEx>
        <w:trPr>
          <w:trHeight w:val="465"/>
        </w:trPr>
        <w:tc>
          <w:tcPr>
            <w:tcW w:w="1439" w:type="dxa"/>
            <w:tcBorders>
              <w:top w:val="none" w:sz="6" w:space="0" w:color="auto"/>
              <w:left w:val="none" w:sz="6" w:space="0" w:color="auto"/>
              <w:bottom w:val="single" w:sz="8" w:space="0" w:color="000000"/>
              <w:right w:val="single" w:sz="8" w:space="0" w:color="000000"/>
            </w:tcBorders>
          </w:tcPr>
          <w:p w14:paraId="523EC3C7" w14:textId="77777777" w:rsidR="00FD37CA" w:rsidRPr="00FD37CA" w:rsidRDefault="00FD37CA" w:rsidP="00FD37CA">
            <w:pPr>
              <w:kinsoku w:val="0"/>
              <w:overflowPunct w:val="0"/>
              <w:autoSpaceDE w:val="0"/>
              <w:autoSpaceDN w:val="0"/>
              <w:adjustRightInd w:val="0"/>
              <w:spacing w:before="74" w:after="0" w:line="240" w:lineRule="auto"/>
              <w:ind w:left="121" w:right="830"/>
              <w:jc w:val="center"/>
              <w:rPr>
                <w:rFonts w:ascii="Calibri" w:hAnsi="Calibri" w:cs="Calibri"/>
                <w:i/>
                <w:iCs/>
                <w:sz w:val="24"/>
                <w:szCs w:val="24"/>
                <w:lang w:val="en-AU"/>
              </w:rPr>
            </w:pPr>
            <w:r w:rsidRPr="00FD37CA">
              <w:rPr>
                <w:rFonts w:ascii="Calibri" w:hAnsi="Calibri" w:cs="Calibri"/>
                <w:i/>
                <w:iCs/>
                <w:sz w:val="24"/>
                <w:szCs w:val="24"/>
                <w:lang w:val="en-AU"/>
              </w:rPr>
              <w:t>Year</w:t>
            </w:r>
          </w:p>
        </w:tc>
        <w:tc>
          <w:tcPr>
            <w:tcW w:w="2132" w:type="dxa"/>
            <w:tcBorders>
              <w:top w:val="none" w:sz="6" w:space="0" w:color="auto"/>
              <w:left w:val="single" w:sz="8" w:space="0" w:color="000000"/>
              <w:bottom w:val="single" w:sz="8" w:space="0" w:color="000000"/>
              <w:right w:val="single" w:sz="8" w:space="0" w:color="000000"/>
            </w:tcBorders>
          </w:tcPr>
          <w:p w14:paraId="4CE981EF" w14:textId="77777777" w:rsidR="00FD37CA" w:rsidRPr="00FD37CA" w:rsidRDefault="00FD37CA" w:rsidP="00FD37CA">
            <w:pPr>
              <w:kinsoku w:val="0"/>
              <w:overflowPunct w:val="0"/>
              <w:autoSpaceDE w:val="0"/>
              <w:autoSpaceDN w:val="0"/>
              <w:adjustRightInd w:val="0"/>
              <w:spacing w:before="74" w:after="0" w:line="240" w:lineRule="auto"/>
              <w:ind w:left="609" w:right="645"/>
              <w:jc w:val="center"/>
              <w:rPr>
                <w:rFonts w:ascii="Calibri" w:hAnsi="Calibri" w:cs="Calibri"/>
                <w:i/>
                <w:iCs/>
                <w:sz w:val="24"/>
                <w:szCs w:val="24"/>
                <w:lang w:val="en-AU"/>
              </w:rPr>
            </w:pPr>
            <w:r w:rsidRPr="00FD37CA">
              <w:rPr>
                <w:rFonts w:ascii="Calibri" w:hAnsi="Calibri" w:cs="Calibri"/>
                <w:i/>
                <w:iCs/>
                <w:sz w:val="24"/>
                <w:szCs w:val="24"/>
                <w:lang w:val="en-AU"/>
              </w:rPr>
              <w:t>Inflation</w:t>
            </w:r>
          </w:p>
        </w:tc>
        <w:tc>
          <w:tcPr>
            <w:tcW w:w="1926" w:type="dxa"/>
            <w:tcBorders>
              <w:top w:val="none" w:sz="6" w:space="0" w:color="auto"/>
              <w:left w:val="single" w:sz="8" w:space="0" w:color="000000"/>
              <w:bottom w:val="single" w:sz="8" w:space="0" w:color="000000"/>
              <w:right w:val="none" w:sz="6" w:space="0" w:color="auto"/>
            </w:tcBorders>
          </w:tcPr>
          <w:p w14:paraId="352A8318" w14:textId="77777777" w:rsidR="00FD37CA" w:rsidRPr="00FD37CA" w:rsidRDefault="00FD37CA" w:rsidP="00FD37CA">
            <w:pPr>
              <w:kinsoku w:val="0"/>
              <w:overflowPunct w:val="0"/>
              <w:autoSpaceDE w:val="0"/>
              <w:autoSpaceDN w:val="0"/>
              <w:adjustRightInd w:val="0"/>
              <w:spacing w:before="74" w:after="0" w:line="240" w:lineRule="auto"/>
              <w:ind w:left="277" w:right="121"/>
              <w:jc w:val="center"/>
              <w:rPr>
                <w:rFonts w:ascii="Calibri" w:hAnsi="Calibri" w:cs="Calibri"/>
                <w:i/>
                <w:iCs/>
                <w:sz w:val="24"/>
                <w:szCs w:val="24"/>
                <w:lang w:val="en-AU"/>
              </w:rPr>
            </w:pPr>
            <w:r w:rsidRPr="00FD37CA">
              <w:rPr>
                <w:rFonts w:ascii="Calibri" w:hAnsi="Calibri" w:cs="Calibri"/>
                <w:i/>
                <w:iCs/>
                <w:sz w:val="24"/>
                <w:szCs w:val="24"/>
                <w:lang w:val="en-AU"/>
              </w:rPr>
              <w:t>Gini Coefficient</w:t>
            </w:r>
          </w:p>
        </w:tc>
      </w:tr>
      <w:tr w:rsidR="00FD37CA" w:rsidRPr="00FD37CA" w14:paraId="708A7418" w14:textId="77777777">
        <w:tblPrEx>
          <w:tblCellMar>
            <w:top w:w="0" w:type="dxa"/>
            <w:left w:w="0" w:type="dxa"/>
            <w:bottom w:w="0" w:type="dxa"/>
            <w:right w:w="0" w:type="dxa"/>
          </w:tblCellMar>
        </w:tblPrEx>
        <w:trPr>
          <w:trHeight w:val="490"/>
        </w:trPr>
        <w:tc>
          <w:tcPr>
            <w:tcW w:w="1439" w:type="dxa"/>
            <w:tcBorders>
              <w:top w:val="single" w:sz="8" w:space="0" w:color="000000"/>
              <w:left w:val="none" w:sz="6" w:space="0" w:color="auto"/>
              <w:bottom w:val="single" w:sz="8" w:space="0" w:color="000000"/>
              <w:right w:val="single" w:sz="8" w:space="0" w:color="000000"/>
            </w:tcBorders>
          </w:tcPr>
          <w:p w14:paraId="3D705805" w14:textId="77777777" w:rsidR="00FD37CA" w:rsidRPr="00FD37CA" w:rsidRDefault="00FD37CA" w:rsidP="00FD37CA">
            <w:pPr>
              <w:kinsoku w:val="0"/>
              <w:overflowPunct w:val="0"/>
              <w:autoSpaceDE w:val="0"/>
              <w:autoSpaceDN w:val="0"/>
              <w:adjustRightInd w:val="0"/>
              <w:spacing w:before="99" w:after="0" w:line="240" w:lineRule="auto"/>
              <w:ind w:right="725"/>
              <w:jc w:val="center"/>
              <w:rPr>
                <w:rFonts w:ascii="Calibri" w:hAnsi="Calibri" w:cs="Calibri"/>
                <w:sz w:val="24"/>
                <w:szCs w:val="24"/>
                <w:lang w:val="en-AU"/>
              </w:rPr>
            </w:pPr>
            <w:r w:rsidRPr="00FD37CA">
              <w:rPr>
                <w:rFonts w:ascii="Calibri" w:hAnsi="Calibri" w:cs="Calibri"/>
                <w:sz w:val="24"/>
                <w:szCs w:val="24"/>
                <w:lang w:val="en-AU"/>
              </w:rPr>
              <w:t>1</w:t>
            </w:r>
          </w:p>
        </w:tc>
        <w:tc>
          <w:tcPr>
            <w:tcW w:w="2132" w:type="dxa"/>
            <w:tcBorders>
              <w:top w:val="single" w:sz="8" w:space="0" w:color="000000"/>
              <w:left w:val="single" w:sz="8" w:space="0" w:color="000000"/>
              <w:bottom w:val="single" w:sz="8" w:space="0" w:color="000000"/>
              <w:right w:val="single" w:sz="8" w:space="0" w:color="000000"/>
            </w:tcBorders>
          </w:tcPr>
          <w:p w14:paraId="19ED958E" w14:textId="77777777" w:rsidR="00FD37CA" w:rsidRPr="00FD37CA" w:rsidRDefault="00FD37CA" w:rsidP="00FD37CA">
            <w:pPr>
              <w:kinsoku w:val="0"/>
              <w:overflowPunct w:val="0"/>
              <w:autoSpaceDE w:val="0"/>
              <w:autoSpaceDN w:val="0"/>
              <w:adjustRightInd w:val="0"/>
              <w:spacing w:before="99" w:after="0" w:line="240" w:lineRule="auto"/>
              <w:ind w:left="609" w:right="629"/>
              <w:jc w:val="center"/>
              <w:rPr>
                <w:rFonts w:ascii="Calibri" w:hAnsi="Calibri" w:cs="Calibri"/>
                <w:sz w:val="24"/>
                <w:szCs w:val="24"/>
                <w:lang w:val="en-AU"/>
              </w:rPr>
            </w:pPr>
            <w:r w:rsidRPr="00FD37CA">
              <w:rPr>
                <w:rFonts w:ascii="Calibri" w:hAnsi="Calibri" w:cs="Calibri"/>
                <w:sz w:val="24"/>
                <w:szCs w:val="24"/>
                <w:lang w:val="en-AU"/>
              </w:rPr>
              <w:t>4%</w:t>
            </w:r>
          </w:p>
        </w:tc>
        <w:tc>
          <w:tcPr>
            <w:tcW w:w="1926" w:type="dxa"/>
            <w:tcBorders>
              <w:top w:val="single" w:sz="8" w:space="0" w:color="000000"/>
              <w:left w:val="single" w:sz="8" w:space="0" w:color="000000"/>
              <w:bottom w:val="single" w:sz="8" w:space="0" w:color="000000"/>
              <w:right w:val="none" w:sz="6" w:space="0" w:color="auto"/>
            </w:tcBorders>
          </w:tcPr>
          <w:p w14:paraId="4A8F24FA" w14:textId="77777777" w:rsidR="00FD37CA" w:rsidRPr="00FD37CA" w:rsidRDefault="00FD37CA" w:rsidP="00FD37CA">
            <w:pPr>
              <w:kinsoku w:val="0"/>
              <w:overflowPunct w:val="0"/>
              <w:autoSpaceDE w:val="0"/>
              <w:autoSpaceDN w:val="0"/>
              <w:adjustRightInd w:val="0"/>
              <w:spacing w:before="99" w:after="0" w:line="240" w:lineRule="auto"/>
              <w:ind w:left="276" w:right="121"/>
              <w:jc w:val="center"/>
              <w:rPr>
                <w:rFonts w:ascii="Calibri" w:hAnsi="Calibri" w:cs="Calibri"/>
                <w:sz w:val="24"/>
                <w:szCs w:val="24"/>
                <w:lang w:val="en-AU"/>
              </w:rPr>
            </w:pPr>
            <w:r w:rsidRPr="00FD37CA">
              <w:rPr>
                <w:rFonts w:ascii="Calibri" w:hAnsi="Calibri" w:cs="Calibri"/>
                <w:sz w:val="24"/>
                <w:szCs w:val="24"/>
                <w:lang w:val="en-AU"/>
              </w:rPr>
              <w:t>0.32</w:t>
            </w:r>
          </w:p>
        </w:tc>
      </w:tr>
      <w:tr w:rsidR="00FD37CA" w:rsidRPr="00FD37CA" w14:paraId="46DDC9B0" w14:textId="77777777">
        <w:tblPrEx>
          <w:tblCellMar>
            <w:top w:w="0" w:type="dxa"/>
            <w:left w:w="0" w:type="dxa"/>
            <w:bottom w:w="0" w:type="dxa"/>
            <w:right w:w="0" w:type="dxa"/>
          </w:tblCellMar>
        </w:tblPrEx>
        <w:trPr>
          <w:trHeight w:val="474"/>
        </w:trPr>
        <w:tc>
          <w:tcPr>
            <w:tcW w:w="1439" w:type="dxa"/>
            <w:tcBorders>
              <w:top w:val="single" w:sz="8" w:space="0" w:color="000000"/>
              <w:left w:val="none" w:sz="6" w:space="0" w:color="auto"/>
              <w:bottom w:val="none" w:sz="6" w:space="0" w:color="auto"/>
              <w:right w:val="single" w:sz="8" w:space="0" w:color="000000"/>
            </w:tcBorders>
          </w:tcPr>
          <w:p w14:paraId="0A949E6E" w14:textId="77777777" w:rsidR="00FD37CA" w:rsidRPr="00FD37CA" w:rsidRDefault="00FD37CA" w:rsidP="00FD37CA">
            <w:pPr>
              <w:kinsoku w:val="0"/>
              <w:overflowPunct w:val="0"/>
              <w:autoSpaceDE w:val="0"/>
              <w:autoSpaceDN w:val="0"/>
              <w:adjustRightInd w:val="0"/>
              <w:spacing w:before="99" w:after="0" w:line="240" w:lineRule="auto"/>
              <w:ind w:right="725"/>
              <w:jc w:val="center"/>
              <w:rPr>
                <w:rFonts w:ascii="Calibri" w:hAnsi="Calibri" w:cs="Calibri"/>
                <w:sz w:val="24"/>
                <w:szCs w:val="24"/>
                <w:lang w:val="en-AU"/>
              </w:rPr>
            </w:pPr>
            <w:r w:rsidRPr="00FD37CA">
              <w:rPr>
                <w:rFonts w:ascii="Calibri" w:hAnsi="Calibri" w:cs="Calibri"/>
                <w:sz w:val="24"/>
                <w:szCs w:val="24"/>
                <w:lang w:val="en-AU"/>
              </w:rPr>
              <w:t>2</w:t>
            </w:r>
          </w:p>
        </w:tc>
        <w:tc>
          <w:tcPr>
            <w:tcW w:w="2132" w:type="dxa"/>
            <w:tcBorders>
              <w:top w:val="single" w:sz="8" w:space="0" w:color="000000"/>
              <w:left w:val="single" w:sz="8" w:space="0" w:color="000000"/>
              <w:bottom w:val="none" w:sz="6" w:space="0" w:color="auto"/>
              <w:right w:val="single" w:sz="8" w:space="0" w:color="000000"/>
            </w:tcBorders>
          </w:tcPr>
          <w:p w14:paraId="028E900C" w14:textId="77777777" w:rsidR="00FD37CA" w:rsidRPr="00FD37CA" w:rsidRDefault="00FD37CA" w:rsidP="00FD37CA">
            <w:pPr>
              <w:kinsoku w:val="0"/>
              <w:overflowPunct w:val="0"/>
              <w:autoSpaceDE w:val="0"/>
              <w:autoSpaceDN w:val="0"/>
              <w:adjustRightInd w:val="0"/>
              <w:spacing w:before="99" w:after="0" w:line="240" w:lineRule="auto"/>
              <w:ind w:left="609" w:right="629"/>
              <w:jc w:val="center"/>
              <w:rPr>
                <w:rFonts w:ascii="Calibri" w:hAnsi="Calibri" w:cs="Calibri"/>
                <w:sz w:val="24"/>
                <w:szCs w:val="24"/>
                <w:lang w:val="en-AU"/>
              </w:rPr>
            </w:pPr>
            <w:r w:rsidRPr="00FD37CA">
              <w:rPr>
                <w:rFonts w:ascii="Calibri" w:hAnsi="Calibri" w:cs="Calibri"/>
                <w:sz w:val="24"/>
                <w:szCs w:val="24"/>
                <w:lang w:val="en-AU"/>
              </w:rPr>
              <w:t>1%</w:t>
            </w:r>
          </w:p>
        </w:tc>
        <w:tc>
          <w:tcPr>
            <w:tcW w:w="1926" w:type="dxa"/>
            <w:tcBorders>
              <w:top w:val="single" w:sz="8" w:space="0" w:color="000000"/>
              <w:left w:val="single" w:sz="8" w:space="0" w:color="000000"/>
              <w:bottom w:val="none" w:sz="6" w:space="0" w:color="auto"/>
              <w:right w:val="none" w:sz="6" w:space="0" w:color="auto"/>
            </w:tcBorders>
          </w:tcPr>
          <w:p w14:paraId="3238C4AC" w14:textId="77777777" w:rsidR="00FD37CA" w:rsidRPr="00FD37CA" w:rsidRDefault="00FD37CA" w:rsidP="00FD37CA">
            <w:pPr>
              <w:kinsoku w:val="0"/>
              <w:overflowPunct w:val="0"/>
              <w:autoSpaceDE w:val="0"/>
              <w:autoSpaceDN w:val="0"/>
              <w:adjustRightInd w:val="0"/>
              <w:spacing w:before="99" w:after="0" w:line="240" w:lineRule="auto"/>
              <w:ind w:left="276" w:right="121"/>
              <w:jc w:val="center"/>
              <w:rPr>
                <w:rFonts w:ascii="Calibri" w:hAnsi="Calibri" w:cs="Calibri"/>
                <w:sz w:val="24"/>
                <w:szCs w:val="24"/>
                <w:lang w:val="en-AU"/>
              </w:rPr>
            </w:pPr>
            <w:r w:rsidRPr="00FD37CA">
              <w:rPr>
                <w:rFonts w:ascii="Calibri" w:hAnsi="Calibri" w:cs="Calibri"/>
                <w:sz w:val="24"/>
                <w:szCs w:val="24"/>
                <w:lang w:val="en-AU"/>
              </w:rPr>
              <w:t>0.31</w:t>
            </w:r>
          </w:p>
        </w:tc>
      </w:tr>
    </w:tbl>
    <w:p w14:paraId="5A6769C3" w14:textId="77777777" w:rsidR="00FD37CA" w:rsidRDefault="00FD37CA"/>
    <w:p w14:paraId="11C8257D" w14:textId="698103ED" w:rsidR="003312ED" w:rsidRDefault="006C417B">
      <w:pPr>
        <w:pStyle w:val="Heading2"/>
      </w:pPr>
      <w:r>
        <w:t>HSC 2020</w:t>
      </w:r>
    </w:p>
    <w:tbl>
      <w:tblPr>
        <w:tblStyle w:val="TipTable"/>
        <w:tblW w:w="5000" w:type="pct"/>
        <w:tblLook w:val="04A0" w:firstRow="1" w:lastRow="0" w:firstColumn="1" w:lastColumn="0" w:noHBand="0" w:noVBand="1"/>
        <w:tblDescription w:val="Layout table"/>
      </w:tblPr>
      <w:tblGrid>
        <w:gridCol w:w="577"/>
        <w:gridCol w:w="8783"/>
      </w:tblGrid>
      <w:tr w:rsidR="005D4DC9" w14:paraId="0228F1BD"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652E7AE" w14:textId="77777777" w:rsidR="005D4DC9" w:rsidRDefault="005D4DC9" w:rsidP="007664E8">
            <w:r>
              <w:rPr>
                <w:noProof/>
                <w:lang w:eastAsia="en-US"/>
              </w:rPr>
              <mc:AlternateContent>
                <mc:Choice Requires="wpg">
                  <w:drawing>
                    <wp:inline distT="0" distB="0" distL="0" distR="0" wp14:anchorId="4816CF8C" wp14:editId="2E251423">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CAAD18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22A41A4" w14:textId="1CA3DF87" w:rsidR="006C417B" w:rsidRPr="006C417B" w:rsidRDefault="006C417B" w:rsidP="006C417B">
            <w:pPr>
              <w:pStyle w:val="BodyText"/>
              <w:kinsoku w:val="0"/>
              <w:overflowPunct w:val="0"/>
              <w:spacing w:line="267" w:lineRule="exact"/>
              <w:ind w:left="1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bookmarkStart w:id="3" w:name="Question 21"/>
            <w:bookmarkEnd w:id="3"/>
            <w:r>
              <w:rPr>
                <w:rFonts w:ascii="Times New Roman" w:hAnsi="Times New Roman" w:cs="Times New Roman"/>
                <w:color w:val="231F20"/>
                <w:sz w:val="24"/>
                <w:szCs w:val="24"/>
                <w:lang w:val="en-AU"/>
              </w:rPr>
              <w:t xml:space="preserve">21 </w:t>
            </w:r>
            <w:r w:rsidRPr="006C417B">
              <w:rPr>
                <w:rFonts w:ascii="Times New Roman" w:hAnsi="Times New Roman" w:cs="Times New Roman"/>
                <w:color w:val="231F20"/>
                <w:sz w:val="24"/>
                <w:szCs w:val="24"/>
                <w:lang w:val="en-AU"/>
              </w:rPr>
              <w:t>(a)     The</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table</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shows</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economic</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information</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for</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a</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hypothetical</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economy.</w:t>
            </w:r>
          </w:p>
          <w:p w14:paraId="4A24EE3C" w14:textId="77777777" w:rsidR="006C417B" w:rsidRPr="006C417B" w:rsidRDefault="006C417B" w:rsidP="006C417B">
            <w:pPr>
              <w:kinsoku w:val="0"/>
              <w:overflowPunct w:val="0"/>
              <w:autoSpaceDE w:val="0"/>
              <w:autoSpaceDN w:val="0"/>
              <w:adjustRightInd w:val="0"/>
              <w:spacing w:before="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AU"/>
              </w:rPr>
            </w:pPr>
          </w:p>
          <w:tbl>
            <w:tblPr>
              <w:tblW w:w="0" w:type="auto"/>
              <w:tblInd w:w="1697" w:type="dxa"/>
              <w:tblCellMar>
                <w:left w:w="0" w:type="dxa"/>
                <w:right w:w="0" w:type="dxa"/>
              </w:tblCellMar>
              <w:tblLook w:val="0000" w:firstRow="0" w:lastRow="0" w:firstColumn="0" w:lastColumn="0" w:noHBand="0" w:noVBand="0"/>
            </w:tblPr>
            <w:tblGrid>
              <w:gridCol w:w="964"/>
              <w:gridCol w:w="1984"/>
              <w:gridCol w:w="2948"/>
            </w:tblGrid>
            <w:tr w:rsidR="006C417B" w:rsidRPr="006C417B" w14:paraId="051F2E5D" w14:textId="77777777">
              <w:tblPrEx>
                <w:tblCellMar>
                  <w:top w:w="0" w:type="dxa"/>
                  <w:left w:w="0" w:type="dxa"/>
                  <w:bottom w:w="0" w:type="dxa"/>
                  <w:right w:w="0" w:type="dxa"/>
                </w:tblCellMar>
              </w:tblPrEx>
              <w:trPr>
                <w:trHeight w:val="386"/>
              </w:trPr>
              <w:tc>
                <w:tcPr>
                  <w:tcW w:w="964" w:type="dxa"/>
                  <w:tcBorders>
                    <w:top w:val="single" w:sz="4" w:space="0" w:color="231F20"/>
                    <w:left w:val="single" w:sz="4" w:space="0" w:color="231F20"/>
                    <w:bottom w:val="single" w:sz="4" w:space="0" w:color="231F20"/>
                    <w:right w:val="single" w:sz="4" w:space="0" w:color="231F20"/>
                  </w:tcBorders>
                </w:tcPr>
                <w:p w14:paraId="05D45133" w14:textId="77777777" w:rsidR="006C417B" w:rsidRPr="006C417B" w:rsidRDefault="006C417B" w:rsidP="006C417B">
                  <w:pPr>
                    <w:kinsoku w:val="0"/>
                    <w:overflowPunct w:val="0"/>
                    <w:autoSpaceDE w:val="0"/>
                    <w:autoSpaceDN w:val="0"/>
                    <w:adjustRightInd w:val="0"/>
                    <w:spacing w:before="49" w:after="0" w:line="240" w:lineRule="auto"/>
                    <w:ind w:left="234" w:right="225"/>
                    <w:jc w:val="center"/>
                    <w:rPr>
                      <w:rFonts w:ascii="Times New Roman" w:hAnsi="Times New Roman" w:cs="Times New Roman"/>
                      <w:i/>
                      <w:iCs/>
                      <w:color w:val="231F20"/>
                      <w:sz w:val="24"/>
                      <w:szCs w:val="24"/>
                      <w:lang w:val="en-AU"/>
                    </w:rPr>
                  </w:pPr>
                  <w:r w:rsidRPr="006C417B">
                    <w:rPr>
                      <w:rFonts w:ascii="Times New Roman" w:hAnsi="Times New Roman" w:cs="Times New Roman"/>
                      <w:i/>
                      <w:iCs/>
                      <w:color w:val="231F20"/>
                      <w:sz w:val="24"/>
                      <w:szCs w:val="24"/>
                      <w:lang w:val="en-AU"/>
                    </w:rPr>
                    <w:t>Year</w:t>
                  </w:r>
                </w:p>
              </w:tc>
              <w:tc>
                <w:tcPr>
                  <w:tcW w:w="1984" w:type="dxa"/>
                  <w:tcBorders>
                    <w:top w:val="single" w:sz="4" w:space="0" w:color="231F20"/>
                    <w:left w:val="single" w:sz="4" w:space="0" w:color="231F20"/>
                    <w:bottom w:val="single" w:sz="4" w:space="0" w:color="231F20"/>
                    <w:right w:val="single" w:sz="4" w:space="0" w:color="231F20"/>
                  </w:tcBorders>
                </w:tcPr>
                <w:p w14:paraId="3D3BC1C8" w14:textId="77777777" w:rsidR="006C417B" w:rsidRPr="006C417B" w:rsidRDefault="006C417B" w:rsidP="006C417B">
                  <w:pPr>
                    <w:kinsoku w:val="0"/>
                    <w:overflowPunct w:val="0"/>
                    <w:autoSpaceDE w:val="0"/>
                    <w:autoSpaceDN w:val="0"/>
                    <w:adjustRightInd w:val="0"/>
                    <w:spacing w:before="49" w:after="0" w:line="240" w:lineRule="auto"/>
                    <w:ind w:left="225" w:right="216"/>
                    <w:jc w:val="center"/>
                    <w:rPr>
                      <w:rFonts w:ascii="Times New Roman" w:hAnsi="Times New Roman" w:cs="Times New Roman"/>
                      <w:i/>
                      <w:iCs/>
                      <w:color w:val="231F20"/>
                      <w:sz w:val="24"/>
                      <w:szCs w:val="24"/>
                      <w:lang w:val="en-AU"/>
                    </w:rPr>
                  </w:pPr>
                  <w:r w:rsidRPr="006C417B">
                    <w:rPr>
                      <w:rFonts w:ascii="Times New Roman" w:hAnsi="Times New Roman" w:cs="Times New Roman"/>
                      <w:i/>
                      <w:iCs/>
                      <w:color w:val="231F20"/>
                      <w:sz w:val="24"/>
                      <w:szCs w:val="24"/>
                      <w:lang w:val="en-AU"/>
                    </w:rPr>
                    <w:t>Gini</w:t>
                  </w:r>
                  <w:r w:rsidRPr="006C417B">
                    <w:rPr>
                      <w:rFonts w:ascii="Times New Roman" w:hAnsi="Times New Roman" w:cs="Times New Roman"/>
                      <w:i/>
                      <w:iCs/>
                      <w:color w:val="231F20"/>
                      <w:spacing w:val="5"/>
                      <w:sz w:val="24"/>
                      <w:szCs w:val="24"/>
                      <w:lang w:val="en-AU"/>
                    </w:rPr>
                    <w:t xml:space="preserve"> </w:t>
                  </w:r>
                  <w:r w:rsidRPr="006C417B">
                    <w:rPr>
                      <w:rFonts w:ascii="Times New Roman" w:hAnsi="Times New Roman" w:cs="Times New Roman"/>
                      <w:i/>
                      <w:iCs/>
                      <w:color w:val="231F20"/>
                      <w:sz w:val="24"/>
                      <w:szCs w:val="24"/>
                      <w:lang w:val="en-AU"/>
                    </w:rPr>
                    <w:t>coefficient</w:t>
                  </w:r>
                </w:p>
              </w:tc>
              <w:tc>
                <w:tcPr>
                  <w:tcW w:w="2948" w:type="dxa"/>
                  <w:tcBorders>
                    <w:top w:val="single" w:sz="4" w:space="0" w:color="231F20"/>
                    <w:left w:val="single" w:sz="4" w:space="0" w:color="231F20"/>
                    <w:bottom w:val="single" w:sz="4" w:space="0" w:color="231F20"/>
                    <w:right w:val="single" w:sz="4" w:space="0" w:color="231F20"/>
                  </w:tcBorders>
                </w:tcPr>
                <w:p w14:paraId="3885EE99" w14:textId="77777777" w:rsidR="006C417B" w:rsidRPr="006C417B" w:rsidRDefault="006C417B" w:rsidP="006C417B">
                  <w:pPr>
                    <w:kinsoku w:val="0"/>
                    <w:overflowPunct w:val="0"/>
                    <w:autoSpaceDE w:val="0"/>
                    <w:autoSpaceDN w:val="0"/>
                    <w:adjustRightInd w:val="0"/>
                    <w:spacing w:before="49" w:after="0" w:line="240" w:lineRule="auto"/>
                    <w:ind w:left="169" w:right="159"/>
                    <w:jc w:val="center"/>
                    <w:rPr>
                      <w:rFonts w:ascii="Times New Roman" w:hAnsi="Times New Roman" w:cs="Times New Roman"/>
                      <w:i/>
                      <w:iCs/>
                      <w:color w:val="231F20"/>
                      <w:sz w:val="24"/>
                      <w:szCs w:val="24"/>
                      <w:lang w:val="en-AU"/>
                    </w:rPr>
                  </w:pPr>
                  <w:r w:rsidRPr="006C417B">
                    <w:rPr>
                      <w:rFonts w:ascii="Times New Roman" w:hAnsi="Times New Roman" w:cs="Times New Roman"/>
                      <w:i/>
                      <w:iCs/>
                      <w:color w:val="231F20"/>
                      <w:sz w:val="24"/>
                      <w:szCs w:val="24"/>
                      <w:lang w:val="en-AU"/>
                    </w:rPr>
                    <w:t>Human</w:t>
                  </w:r>
                  <w:r w:rsidRPr="006C417B">
                    <w:rPr>
                      <w:rFonts w:ascii="Times New Roman" w:hAnsi="Times New Roman" w:cs="Times New Roman"/>
                      <w:i/>
                      <w:iCs/>
                      <w:color w:val="231F20"/>
                      <w:spacing w:val="5"/>
                      <w:sz w:val="24"/>
                      <w:szCs w:val="24"/>
                      <w:lang w:val="en-AU"/>
                    </w:rPr>
                    <w:t xml:space="preserve"> </w:t>
                  </w:r>
                  <w:r w:rsidRPr="006C417B">
                    <w:rPr>
                      <w:rFonts w:ascii="Times New Roman" w:hAnsi="Times New Roman" w:cs="Times New Roman"/>
                      <w:i/>
                      <w:iCs/>
                      <w:color w:val="231F20"/>
                      <w:sz w:val="24"/>
                      <w:szCs w:val="24"/>
                      <w:lang w:val="en-AU"/>
                    </w:rPr>
                    <w:t>development</w:t>
                  </w:r>
                  <w:r w:rsidRPr="006C417B">
                    <w:rPr>
                      <w:rFonts w:ascii="Times New Roman" w:hAnsi="Times New Roman" w:cs="Times New Roman"/>
                      <w:i/>
                      <w:iCs/>
                      <w:color w:val="231F20"/>
                      <w:spacing w:val="5"/>
                      <w:sz w:val="24"/>
                      <w:szCs w:val="24"/>
                      <w:lang w:val="en-AU"/>
                    </w:rPr>
                    <w:t xml:space="preserve"> </w:t>
                  </w:r>
                  <w:r w:rsidRPr="006C417B">
                    <w:rPr>
                      <w:rFonts w:ascii="Times New Roman" w:hAnsi="Times New Roman" w:cs="Times New Roman"/>
                      <w:i/>
                      <w:iCs/>
                      <w:color w:val="231F20"/>
                      <w:sz w:val="24"/>
                      <w:szCs w:val="24"/>
                      <w:lang w:val="en-AU"/>
                    </w:rPr>
                    <w:t>index</w:t>
                  </w:r>
                </w:p>
              </w:tc>
            </w:tr>
            <w:tr w:rsidR="006C417B" w:rsidRPr="006C417B" w14:paraId="2FC2CEB4" w14:textId="77777777">
              <w:tblPrEx>
                <w:tblCellMar>
                  <w:top w:w="0" w:type="dxa"/>
                  <w:left w:w="0" w:type="dxa"/>
                  <w:bottom w:w="0" w:type="dxa"/>
                  <w:right w:w="0" w:type="dxa"/>
                </w:tblCellMar>
              </w:tblPrEx>
              <w:trPr>
                <w:trHeight w:val="386"/>
              </w:trPr>
              <w:tc>
                <w:tcPr>
                  <w:tcW w:w="964" w:type="dxa"/>
                  <w:tcBorders>
                    <w:top w:val="single" w:sz="4" w:space="0" w:color="231F20"/>
                    <w:left w:val="single" w:sz="4" w:space="0" w:color="231F20"/>
                    <w:bottom w:val="single" w:sz="4" w:space="0" w:color="231F20"/>
                    <w:right w:val="single" w:sz="4" w:space="0" w:color="231F20"/>
                  </w:tcBorders>
                </w:tcPr>
                <w:p w14:paraId="184263E7" w14:textId="77777777" w:rsidR="006C417B" w:rsidRPr="006C417B" w:rsidRDefault="006C417B" w:rsidP="006C417B">
                  <w:pPr>
                    <w:kinsoku w:val="0"/>
                    <w:overflowPunct w:val="0"/>
                    <w:autoSpaceDE w:val="0"/>
                    <w:autoSpaceDN w:val="0"/>
                    <w:adjustRightInd w:val="0"/>
                    <w:spacing w:before="49" w:after="0" w:line="240" w:lineRule="auto"/>
                    <w:ind w:left="10"/>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1</w:t>
                  </w:r>
                </w:p>
              </w:tc>
              <w:tc>
                <w:tcPr>
                  <w:tcW w:w="1984" w:type="dxa"/>
                  <w:tcBorders>
                    <w:top w:val="single" w:sz="4" w:space="0" w:color="231F20"/>
                    <w:left w:val="single" w:sz="4" w:space="0" w:color="231F20"/>
                    <w:bottom w:val="single" w:sz="4" w:space="0" w:color="231F20"/>
                    <w:right w:val="single" w:sz="4" w:space="0" w:color="231F20"/>
                  </w:tcBorders>
                </w:tcPr>
                <w:p w14:paraId="45FF5EA6" w14:textId="77777777" w:rsidR="006C417B" w:rsidRPr="006C417B" w:rsidRDefault="006C417B" w:rsidP="006C417B">
                  <w:pPr>
                    <w:kinsoku w:val="0"/>
                    <w:overflowPunct w:val="0"/>
                    <w:autoSpaceDE w:val="0"/>
                    <w:autoSpaceDN w:val="0"/>
                    <w:adjustRightInd w:val="0"/>
                    <w:spacing w:before="49" w:after="0" w:line="240" w:lineRule="auto"/>
                    <w:ind w:left="225" w:right="215"/>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0.87</w:t>
                  </w:r>
                </w:p>
              </w:tc>
              <w:tc>
                <w:tcPr>
                  <w:tcW w:w="2948" w:type="dxa"/>
                  <w:tcBorders>
                    <w:top w:val="single" w:sz="4" w:space="0" w:color="231F20"/>
                    <w:left w:val="single" w:sz="4" w:space="0" w:color="231F20"/>
                    <w:bottom w:val="single" w:sz="4" w:space="0" w:color="231F20"/>
                    <w:right w:val="single" w:sz="4" w:space="0" w:color="231F20"/>
                  </w:tcBorders>
                </w:tcPr>
                <w:p w14:paraId="70DED5F3" w14:textId="77777777" w:rsidR="006C417B" w:rsidRPr="006C417B" w:rsidRDefault="006C417B" w:rsidP="006C417B">
                  <w:pPr>
                    <w:kinsoku w:val="0"/>
                    <w:overflowPunct w:val="0"/>
                    <w:autoSpaceDE w:val="0"/>
                    <w:autoSpaceDN w:val="0"/>
                    <w:adjustRightInd w:val="0"/>
                    <w:spacing w:before="49" w:after="0" w:line="240" w:lineRule="auto"/>
                    <w:ind w:left="169" w:right="159"/>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0.35</w:t>
                  </w:r>
                </w:p>
              </w:tc>
            </w:tr>
            <w:tr w:rsidR="006C417B" w:rsidRPr="006C417B" w14:paraId="56B7B863" w14:textId="77777777">
              <w:tblPrEx>
                <w:tblCellMar>
                  <w:top w:w="0" w:type="dxa"/>
                  <w:left w:w="0" w:type="dxa"/>
                  <w:bottom w:w="0" w:type="dxa"/>
                  <w:right w:w="0" w:type="dxa"/>
                </w:tblCellMar>
              </w:tblPrEx>
              <w:trPr>
                <w:trHeight w:val="386"/>
              </w:trPr>
              <w:tc>
                <w:tcPr>
                  <w:tcW w:w="964" w:type="dxa"/>
                  <w:tcBorders>
                    <w:top w:val="single" w:sz="4" w:space="0" w:color="231F20"/>
                    <w:left w:val="single" w:sz="4" w:space="0" w:color="231F20"/>
                    <w:bottom w:val="single" w:sz="4" w:space="0" w:color="231F20"/>
                    <w:right w:val="single" w:sz="4" w:space="0" w:color="231F20"/>
                  </w:tcBorders>
                </w:tcPr>
                <w:p w14:paraId="5F8099F1" w14:textId="77777777" w:rsidR="006C417B" w:rsidRPr="006C417B" w:rsidRDefault="006C417B" w:rsidP="006C417B">
                  <w:pPr>
                    <w:kinsoku w:val="0"/>
                    <w:overflowPunct w:val="0"/>
                    <w:autoSpaceDE w:val="0"/>
                    <w:autoSpaceDN w:val="0"/>
                    <w:adjustRightInd w:val="0"/>
                    <w:spacing w:before="49" w:after="0" w:line="240" w:lineRule="auto"/>
                    <w:ind w:left="10"/>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2</w:t>
                  </w:r>
                </w:p>
              </w:tc>
              <w:tc>
                <w:tcPr>
                  <w:tcW w:w="1984" w:type="dxa"/>
                  <w:tcBorders>
                    <w:top w:val="single" w:sz="4" w:space="0" w:color="231F20"/>
                    <w:left w:val="single" w:sz="4" w:space="0" w:color="231F20"/>
                    <w:bottom w:val="single" w:sz="4" w:space="0" w:color="231F20"/>
                    <w:right w:val="single" w:sz="4" w:space="0" w:color="231F20"/>
                  </w:tcBorders>
                </w:tcPr>
                <w:p w14:paraId="639EA87C" w14:textId="77777777" w:rsidR="006C417B" w:rsidRPr="006C417B" w:rsidRDefault="006C417B" w:rsidP="006C417B">
                  <w:pPr>
                    <w:kinsoku w:val="0"/>
                    <w:overflowPunct w:val="0"/>
                    <w:autoSpaceDE w:val="0"/>
                    <w:autoSpaceDN w:val="0"/>
                    <w:adjustRightInd w:val="0"/>
                    <w:spacing w:before="49" w:after="0" w:line="240" w:lineRule="auto"/>
                    <w:ind w:left="225" w:right="215"/>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0.74</w:t>
                  </w:r>
                </w:p>
              </w:tc>
              <w:tc>
                <w:tcPr>
                  <w:tcW w:w="2948" w:type="dxa"/>
                  <w:tcBorders>
                    <w:top w:val="single" w:sz="4" w:space="0" w:color="231F20"/>
                    <w:left w:val="single" w:sz="4" w:space="0" w:color="231F20"/>
                    <w:bottom w:val="single" w:sz="4" w:space="0" w:color="231F20"/>
                    <w:right w:val="single" w:sz="4" w:space="0" w:color="231F20"/>
                  </w:tcBorders>
                </w:tcPr>
                <w:p w14:paraId="58B29980" w14:textId="77777777" w:rsidR="006C417B" w:rsidRPr="006C417B" w:rsidRDefault="006C417B" w:rsidP="006C417B">
                  <w:pPr>
                    <w:kinsoku w:val="0"/>
                    <w:overflowPunct w:val="0"/>
                    <w:autoSpaceDE w:val="0"/>
                    <w:autoSpaceDN w:val="0"/>
                    <w:adjustRightInd w:val="0"/>
                    <w:spacing w:before="49" w:after="0" w:line="240" w:lineRule="auto"/>
                    <w:ind w:left="169" w:right="159"/>
                    <w:jc w:val="center"/>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0.36</w:t>
                  </w:r>
                </w:p>
              </w:tc>
            </w:tr>
          </w:tbl>
          <w:p w14:paraId="61299597" w14:textId="25FAD3A6" w:rsidR="006C417B" w:rsidRPr="006C417B" w:rsidRDefault="006C417B" w:rsidP="006C417B">
            <w:pPr>
              <w:kinsoku w:val="0"/>
              <w:overflowPunct w:val="0"/>
              <w:autoSpaceDE w:val="0"/>
              <w:autoSpaceDN w:val="0"/>
              <w:adjustRightInd w:val="0"/>
              <w:spacing w:before="198" w:line="244" w:lineRule="auto"/>
              <w:ind w:left="1720" w:right="757" w:hanging="10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lang w:val="en-AU"/>
              </w:rPr>
            </w:pPr>
            <w:r w:rsidRPr="006C417B">
              <w:rPr>
                <w:rFonts w:ascii="Times New Roman" w:hAnsi="Times New Roman" w:cs="Times New Roman"/>
                <w:color w:val="231F20"/>
                <w:sz w:val="24"/>
                <w:szCs w:val="24"/>
                <w:lang w:val="en-AU"/>
              </w:rPr>
              <w:t>With</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reference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to</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the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given</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data,</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outline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ONE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possible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reason</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for</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the</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change</w:t>
            </w:r>
            <w:r>
              <w:rPr>
                <w:rFonts w:ascii="Times New Roman" w:hAnsi="Times New Roman" w:cs="Times New Roman"/>
                <w:color w:val="231F20"/>
                <w:sz w:val="24"/>
                <w:szCs w:val="24"/>
                <w:lang w:val="en-AU"/>
              </w:rPr>
              <w:t xml:space="preserve"> in the distr</w:t>
            </w:r>
            <w:r w:rsidRPr="006C417B">
              <w:rPr>
                <w:rFonts w:ascii="Times New Roman" w:hAnsi="Times New Roman" w:cs="Times New Roman"/>
                <w:color w:val="231F20"/>
                <w:sz w:val="24"/>
                <w:szCs w:val="24"/>
                <w:lang w:val="en-AU"/>
              </w:rPr>
              <w:t>ibution</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of</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income</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from</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Year</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1</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to</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Year</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2</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for</w:t>
            </w:r>
            <w:r w:rsidRPr="006C417B">
              <w:rPr>
                <w:rFonts w:ascii="Times New Roman" w:hAnsi="Times New Roman" w:cs="Times New Roman"/>
                <w:color w:val="231F20"/>
                <w:spacing w:val="6"/>
                <w:sz w:val="24"/>
                <w:szCs w:val="24"/>
                <w:lang w:val="en-AU"/>
              </w:rPr>
              <w:t xml:space="preserve"> </w:t>
            </w:r>
            <w:r w:rsidRPr="006C417B">
              <w:rPr>
                <w:rFonts w:ascii="Times New Roman" w:hAnsi="Times New Roman" w:cs="Times New Roman"/>
                <w:color w:val="231F20"/>
                <w:sz w:val="24"/>
                <w:szCs w:val="24"/>
                <w:lang w:val="en-AU"/>
              </w:rPr>
              <w:t>this</w:t>
            </w:r>
            <w:r w:rsidRPr="006C417B">
              <w:rPr>
                <w:rFonts w:ascii="Times New Roman" w:hAnsi="Times New Roman" w:cs="Times New Roman"/>
                <w:color w:val="231F20"/>
                <w:spacing w:val="5"/>
                <w:sz w:val="24"/>
                <w:szCs w:val="24"/>
                <w:lang w:val="en-AU"/>
              </w:rPr>
              <w:t xml:space="preserve"> </w:t>
            </w:r>
            <w:r w:rsidRPr="006C417B">
              <w:rPr>
                <w:rFonts w:ascii="Times New Roman" w:hAnsi="Times New Roman" w:cs="Times New Roman"/>
                <w:color w:val="231F20"/>
                <w:sz w:val="24"/>
                <w:szCs w:val="24"/>
                <w:lang w:val="en-AU"/>
              </w:rPr>
              <w:t>economy.</w:t>
            </w:r>
          </w:p>
          <w:p w14:paraId="758ECBAF" w14:textId="45FDCC59" w:rsidR="005D4DC9" w:rsidRPr="006C417B" w:rsidRDefault="006C417B" w:rsidP="006C417B">
            <w:pPr>
              <w:pStyle w:val="TipText"/>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6C417B">
              <w:rPr>
                <w:b/>
                <w:bCs/>
                <w:sz w:val="22"/>
                <w:szCs w:val="22"/>
              </w:rPr>
              <w:t>2 marks</w:t>
            </w:r>
          </w:p>
        </w:tc>
      </w:tr>
    </w:tbl>
    <w:p w14:paraId="77CE8831" w14:textId="1EACECAD" w:rsidR="003312ED" w:rsidRDefault="003312ED"/>
    <w:p w14:paraId="19CC253F" w14:textId="77777777" w:rsidR="006C417B" w:rsidRDefault="006C417B" w:rsidP="006C417B">
      <w:pPr>
        <w:autoSpaceDE w:val="0"/>
        <w:autoSpaceDN w:val="0"/>
        <w:adjustRightInd w:val="0"/>
        <w:spacing w:after="75" w:line="251" w:lineRule="atLeast"/>
        <w:jc w:val="both"/>
        <w:rPr>
          <w:rFonts w:ascii="AEECXB+Arial-BoldItalicMT" w:hAnsi="AEECXB+Arial-BoldItalicMT" w:cs="AEECXB+Arial-BoldItalicMT"/>
          <w:b/>
          <w:bCs/>
          <w:i/>
          <w:iCs/>
          <w:color w:val="000000"/>
          <w:sz w:val="21"/>
          <w:szCs w:val="21"/>
          <w:lang w:val="en-AU"/>
        </w:rPr>
      </w:pPr>
    </w:p>
    <w:p w14:paraId="585D3EAB" w14:textId="64A49A9B" w:rsidR="006C417B" w:rsidRPr="006C417B" w:rsidRDefault="006C417B" w:rsidP="006C417B">
      <w:pPr>
        <w:autoSpaceDE w:val="0"/>
        <w:autoSpaceDN w:val="0"/>
        <w:adjustRightInd w:val="0"/>
        <w:spacing w:after="75" w:line="251" w:lineRule="atLeast"/>
        <w:jc w:val="both"/>
        <w:rPr>
          <w:rFonts w:ascii="AEECXB+Arial-BoldItalicMT" w:hAnsi="AEECXB+Arial-BoldItalicMT" w:cs="AEECXB+Arial-BoldItalicMT"/>
          <w:color w:val="000000"/>
          <w:sz w:val="21"/>
          <w:szCs w:val="21"/>
          <w:lang w:val="en-AU"/>
        </w:rPr>
      </w:pPr>
      <w:r w:rsidRPr="006C417B">
        <w:rPr>
          <w:rFonts w:ascii="AEECXB+Arial-BoldItalicMT" w:hAnsi="AEECXB+Arial-BoldItalicMT" w:cs="AEECXB+Arial-BoldItalicMT"/>
          <w:b/>
          <w:bCs/>
          <w:i/>
          <w:iCs/>
          <w:color w:val="000000"/>
          <w:sz w:val="21"/>
          <w:szCs w:val="21"/>
          <w:lang w:val="en-AU"/>
        </w:rPr>
        <w:t xml:space="preserve">Sample answer: </w:t>
      </w:r>
    </w:p>
    <w:p w14:paraId="0C3A0D87" w14:textId="77777777" w:rsidR="006C417B" w:rsidRPr="006C417B" w:rsidRDefault="006C417B" w:rsidP="006C417B">
      <w:pPr>
        <w:autoSpaceDE w:val="0"/>
        <w:autoSpaceDN w:val="0"/>
        <w:adjustRightInd w:val="0"/>
        <w:spacing w:after="232" w:line="251" w:lineRule="atLeast"/>
        <w:jc w:val="both"/>
        <w:rPr>
          <w:rFonts w:ascii="RJCSXK+ArialMT" w:hAnsi="RJCSXK+ArialMT" w:cs="RJCSXK+ArialMT"/>
          <w:color w:val="000000"/>
          <w:sz w:val="21"/>
          <w:szCs w:val="21"/>
          <w:lang w:val="en-AU"/>
        </w:rPr>
      </w:pPr>
      <w:r w:rsidRPr="006C417B">
        <w:rPr>
          <w:rFonts w:ascii="RJCSXK+ArialMT" w:hAnsi="RJCSXK+ArialMT" w:cs="RJCSXK+ArialMT"/>
          <w:color w:val="000000"/>
          <w:sz w:val="21"/>
          <w:szCs w:val="21"/>
          <w:lang w:val="en-AU"/>
        </w:rPr>
        <w:t xml:space="preserve">The Gini coefficient has improved from Year 1 to Year 2 possibly due to decreases in personal income taxation aimed at lower income earners. </w:t>
      </w:r>
    </w:p>
    <w:p w14:paraId="2A259AA2" w14:textId="77777777" w:rsidR="006C417B" w:rsidRPr="006C417B" w:rsidRDefault="006C417B" w:rsidP="006C417B">
      <w:pPr>
        <w:autoSpaceDE w:val="0"/>
        <w:autoSpaceDN w:val="0"/>
        <w:adjustRightInd w:val="0"/>
        <w:spacing w:after="119" w:line="251" w:lineRule="atLeast"/>
        <w:jc w:val="both"/>
        <w:rPr>
          <w:rFonts w:ascii="AEECXB+Arial-BoldItalicMT" w:hAnsi="AEECXB+Arial-BoldItalicMT" w:cs="AEECXB+Arial-BoldItalicMT"/>
          <w:color w:val="000000"/>
          <w:sz w:val="21"/>
          <w:szCs w:val="21"/>
          <w:lang w:val="en-AU"/>
        </w:rPr>
      </w:pPr>
      <w:r w:rsidRPr="006C417B">
        <w:rPr>
          <w:rFonts w:ascii="AEECXB+Arial-BoldItalicMT" w:hAnsi="AEECXB+Arial-BoldItalicMT" w:cs="AEECXB+Arial-BoldItalicMT"/>
          <w:b/>
          <w:bCs/>
          <w:i/>
          <w:iCs/>
          <w:color w:val="000000"/>
          <w:sz w:val="21"/>
          <w:szCs w:val="21"/>
          <w:lang w:val="en-AU"/>
        </w:rPr>
        <w:t xml:space="preserve">Answers could include: </w:t>
      </w:r>
    </w:p>
    <w:p w14:paraId="7FAA013B" w14:textId="77777777" w:rsidR="006C417B" w:rsidRPr="006C417B" w:rsidRDefault="006C417B" w:rsidP="006C417B">
      <w:pPr>
        <w:numPr>
          <w:ilvl w:val="0"/>
          <w:numId w:val="18"/>
        </w:numPr>
        <w:autoSpaceDE w:val="0"/>
        <w:autoSpaceDN w:val="0"/>
        <w:adjustRightInd w:val="0"/>
        <w:spacing w:after="13" w:line="240" w:lineRule="auto"/>
        <w:rPr>
          <w:rFonts w:ascii="RJCSXK+ArialMT" w:hAnsi="RJCSXK+ArialMT" w:cs="RJCSXK+ArialMT"/>
          <w:color w:val="000000"/>
          <w:sz w:val="21"/>
          <w:szCs w:val="21"/>
          <w:lang w:val="en-AU"/>
        </w:rPr>
      </w:pPr>
      <w:r w:rsidRPr="006C417B">
        <w:rPr>
          <w:rFonts w:ascii="RJCSXK+ArialMT" w:hAnsi="RJCSXK+ArialMT" w:cs="RJCSXK+ArialMT"/>
          <w:color w:val="000000"/>
          <w:sz w:val="21"/>
          <w:szCs w:val="21"/>
          <w:lang w:val="en-AU"/>
        </w:rPr>
        <w:t xml:space="preserve">Changes in income taxation policies </w:t>
      </w:r>
    </w:p>
    <w:p w14:paraId="37FE201B" w14:textId="77777777" w:rsidR="006C417B" w:rsidRPr="006C417B" w:rsidRDefault="006C417B" w:rsidP="006C417B">
      <w:pPr>
        <w:numPr>
          <w:ilvl w:val="0"/>
          <w:numId w:val="18"/>
        </w:numPr>
        <w:autoSpaceDE w:val="0"/>
        <w:autoSpaceDN w:val="0"/>
        <w:adjustRightInd w:val="0"/>
        <w:spacing w:after="13" w:line="240" w:lineRule="auto"/>
        <w:rPr>
          <w:rFonts w:ascii="RJCSXK+ArialMT" w:hAnsi="RJCSXK+ArialMT" w:cs="RJCSXK+ArialMT"/>
          <w:color w:val="000000"/>
          <w:sz w:val="21"/>
          <w:szCs w:val="21"/>
          <w:lang w:val="en-AU"/>
        </w:rPr>
      </w:pPr>
      <w:r w:rsidRPr="006C417B">
        <w:rPr>
          <w:rFonts w:ascii="RJCSXK+ArialMT" w:hAnsi="RJCSXK+ArialMT" w:cs="RJCSXK+ArialMT"/>
          <w:color w:val="000000"/>
          <w:sz w:val="21"/>
          <w:szCs w:val="21"/>
          <w:lang w:val="en-AU"/>
        </w:rPr>
        <w:t xml:space="preserve">Transfer payment policies </w:t>
      </w:r>
    </w:p>
    <w:p w14:paraId="2B228666" w14:textId="77777777" w:rsidR="006C417B" w:rsidRPr="006C417B" w:rsidRDefault="006C417B" w:rsidP="006C417B">
      <w:pPr>
        <w:numPr>
          <w:ilvl w:val="0"/>
          <w:numId w:val="18"/>
        </w:numPr>
        <w:autoSpaceDE w:val="0"/>
        <w:autoSpaceDN w:val="0"/>
        <w:adjustRightInd w:val="0"/>
        <w:spacing w:after="13" w:line="240" w:lineRule="auto"/>
        <w:rPr>
          <w:rFonts w:ascii="RJCSXK+ArialMT" w:hAnsi="RJCSXK+ArialMT" w:cs="RJCSXK+ArialMT"/>
          <w:color w:val="000000"/>
          <w:sz w:val="21"/>
          <w:szCs w:val="21"/>
          <w:lang w:val="en-AU"/>
        </w:rPr>
      </w:pPr>
      <w:r w:rsidRPr="006C417B">
        <w:rPr>
          <w:rFonts w:ascii="RJCSXK+ArialMT" w:hAnsi="RJCSXK+ArialMT" w:cs="RJCSXK+ArialMT"/>
          <w:color w:val="000000"/>
          <w:sz w:val="21"/>
          <w:szCs w:val="21"/>
          <w:lang w:val="en-AU"/>
        </w:rPr>
        <w:t xml:space="preserve">Superannuation policies </w:t>
      </w:r>
    </w:p>
    <w:p w14:paraId="668AC1AE" w14:textId="77777777" w:rsidR="006C417B" w:rsidRPr="006C417B" w:rsidRDefault="006C417B" w:rsidP="006C417B">
      <w:pPr>
        <w:numPr>
          <w:ilvl w:val="0"/>
          <w:numId w:val="18"/>
        </w:numPr>
        <w:autoSpaceDE w:val="0"/>
        <w:autoSpaceDN w:val="0"/>
        <w:adjustRightInd w:val="0"/>
        <w:spacing w:after="0" w:line="240" w:lineRule="auto"/>
        <w:rPr>
          <w:rFonts w:ascii="RJCSXK+ArialMT" w:hAnsi="RJCSXK+ArialMT" w:cs="RJCSXK+ArialMT"/>
          <w:color w:val="000000"/>
          <w:sz w:val="21"/>
          <w:szCs w:val="21"/>
          <w:lang w:val="en-AU"/>
        </w:rPr>
      </w:pPr>
      <w:r w:rsidRPr="006C417B">
        <w:rPr>
          <w:rFonts w:ascii="RJCSXK+ArialMT" w:hAnsi="RJCSXK+ArialMT" w:cs="RJCSXK+ArialMT"/>
          <w:color w:val="000000"/>
          <w:sz w:val="21"/>
          <w:szCs w:val="21"/>
          <w:lang w:val="en-AU"/>
        </w:rPr>
        <w:t xml:space="preserve">Investment in education and training. </w:t>
      </w:r>
    </w:p>
    <w:p w14:paraId="6B006DEE" w14:textId="77777777" w:rsidR="006C417B" w:rsidRDefault="006C417B"/>
    <w:p w14:paraId="176E13AB" w14:textId="77777777" w:rsidR="003312ED" w:rsidRDefault="003312ED"/>
    <w:p w14:paraId="58BF5C68" w14:textId="77777777" w:rsidR="003312ED" w:rsidRDefault="003312ED" w:rsidP="008D6D77"/>
    <w:sectPr w:rsidR="003312ED">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3E98B" w14:textId="77777777" w:rsidR="006A0BFE" w:rsidRDefault="006A0BFE">
      <w:pPr>
        <w:spacing w:after="0" w:line="240" w:lineRule="auto"/>
      </w:pPr>
      <w:r>
        <w:separator/>
      </w:r>
    </w:p>
  </w:endnote>
  <w:endnote w:type="continuationSeparator" w:id="0">
    <w:p w14:paraId="6FA1A315" w14:textId="77777777" w:rsidR="006A0BFE" w:rsidRDefault="006A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JGN K+ Times">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EECXB+Arial-BoldItalicMT">
    <w:altName w:val="Arial"/>
    <w:panose1 w:val="00000000000000000000"/>
    <w:charset w:val="00"/>
    <w:family w:val="swiss"/>
    <w:notTrueType/>
    <w:pitch w:val="default"/>
    <w:sig w:usb0="00000003" w:usb1="00000000" w:usb2="00000000" w:usb3="00000000" w:csb0="00000001" w:csb1="00000000"/>
  </w:font>
  <w:font w:name="RJCSXK+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6A99"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DDE1" w14:textId="77777777" w:rsidR="006A0BFE" w:rsidRDefault="006A0BFE">
      <w:pPr>
        <w:spacing w:after="0" w:line="240" w:lineRule="auto"/>
      </w:pPr>
      <w:r>
        <w:separator/>
      </w:r>
    </w:p>
  </w:footnote>
  <w:footnote w:type="continuationSeparator" w:id="0">
    <w:p w14:paraId="7072BC3C" w14:textId="77777777" w:rsidR="006A0BFE" w:rsidRDefault="006A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6965F3"/>
    <w:multiLevelType w:val="hybridMultilevel"/>
    <w:tmpl w:val="1E548F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629FC542"/>
    <w:multiLevelType w:val="hybridMultilevel"/>
    <w:tmpl w:val="B30CBBA3"/>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7282019B"/>
    <w:multiLevelType w:val="hybridMultilevel"/>
    <w:tmpl w:val="825C5DE0"/>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4"/>
  </w:num>
  <w:num w:numId="3">
    <w:abstractNumId w:val="14"/>
    <w:lvlOverride w:ilvl="0">
      <w:startOverride w:val="1"/>
    </w:lvlOverride>
  </w:num>
  <w:num w:numId="4">
    <w:abstractNumId w:val="11"/>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16"/>
    <w:rsid w:val="00083B37"/>
    <w:rsid w:val="000A0612"/>
    <w:rsid w:val="001A728E"/>
    <w:rsid w:val="001E042A"/>
    <w:rsid w:val="00225505"/>
    <w:rsid w:val="003312ED"/>
    <w:rsid w:val="004018C1"/>
    <w:rsid w:val="004727F4"/>
    <w:rsid w:val="004A0A8D"/>
    <w:rsid w:val="00575B92"/>
    <w:rsid w:val="005A2410"/>
    <w:rsid w:val="005D4DC9"/>
    <w:rsid w:val="005F7999"/>
    <w:rsid w:val="00626EDA"/>
    <w:rsid w:val="006A0BFE"/>
    <w:rsid w:val="006B2E16"/>
    <w:rsid w:val="006C417B"/>
    <w:rsid w:val="006D7FF8"/>
    <w:rsid w:val="00704472"/>
    <w:rsid w:val="00716BAE"/>
    <w:rsid w:val="00791457"/>
    <w:rsid w:val="007F372E"/>
    <w:rsid w:val="008D5E06"/>
    <w:rsid w:val="008D6D77"/>
    <w:rsid w:val="00954BFF"/>
    <w:rsid w:val="00AA316B"/>
    <w:rsid w:val="00BC1FD2"/>
    <w:rsid w:val="00C92C41"/>
    <w:rsid w:val="00D57E3E"/>
    <w:rsid w:val="00DB24CB"/>
    <w:rsid w:val="00DF5013"/>
    <w:rsid w:val="00E9640A"/>
    <w:rsid w:val="00EE254F"/>
    <w:rsid w:val="00F1530B"/>
    <w:rsid w:val="00F1586E"/>
    <w:rsid w:val="00FD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8916"/>
  <w15:chartTrackingRefBased/>
  <w15:docId w15:val="{75EA4271-CF3A-4121-8B2A-9DFB655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0B"/>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1530B"/>
    <w:pPr>
      <w:autoSpaceDE w:val="0"/>
      <w:autoSpaceDN w:val="0"/>
      <w:adjustRightInd w:val="0"/>
      <w:spacing w:after="0" w:line="240" w:lineRule="auto"/>
    </w:pPr>
    <w:rPr>
      <w:rFonts w:ascii="Arial" w:hAnsi="Arial" w:cs="Arial"/>
      <w:color w:val="000000"/>
      <w:sz w:val="24"/>
      <w:szCs w:val="24"/>
      <w:lang w:val="en-AU"/>
    </w:rPr>
  </w:style>
  <w:style w:type="paragraph" w:customStyle="1" w:styleId="CM20">
    <w:name w:val="CM20"/>
    <w:basedOn w:val="Default"/>
    <w:next w:val="Default"/>
    <w:uiPriority w:val="99"/>
    <w:rsid w:val="00F1530B"/>
    <w:rPr>
      <w:color w:val="404040" w:themeColor="text1" w:themeTint="BF"/>
    </w:rPr>
  </w:style>
  <w:style w:type="paragraph" w:styleId="BodyText">
    <w:name w:val="Body Text"/>
    <w:basedOn w:val="Normal"/>
    <w:link w:val="BodyTextChar"/>
    <w:uiPriority w:val="99"/>
    <w:semiHidden/>
    <w:unhideWhenUsed/>
    <w:rsid w:val="006C417B"/>
    <w:pPr>
      <w:spacing w:after="120"/>
    </w:pPr>
  </w:style>
  <w:style w:type="character" w:customStyle="1" w:styleId="BodyTextChar">
    <w:name w:val="Body Text Char"/>
    <w:basedOn w:val="DefaultParagraphFont"/>
    <w:link w:val="BodyText"/>
    <w:uiPriority w:val="99"/>
    <w:semiHidden/>
    <w:rsid w:val="006C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432\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174</TotalTime>
  <Pages>5</Pages>
  <Words>894</Words>
  <Characters>5591</Characters>
  <Application>Microsoft Office Word</Application>
  <DocSecurity>0</DocSecurity>
  <Lines>215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61432</dc:creator>
  <cp:lastModifiedBy>Wendy Mockler</cp:lastModifiedBy>
  <cp:revision>3</cp:revision>
  <dcterms:created xsi:type="dcterms:W3CDTF">2021-04-09T00:11:00Z</dcterms:created>
  <dcterms:modified xsi:type="dcterms:W3CDTF">2021-04-09T03:05:00Z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